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May 26, 2026.</w:t>
      </w:r>
    </w:p>
    <w:p>
      <w:pPr>
        <w:spacing w:after="0" w:line="28" w:lineRule="exact"/>
        <w:rPr>
          <w:sz w:val="24"/>
          <w:szCs w:val="24"/>
          <w:color w:val="auto"/>
        </w:rPr>
      </w:pPr>
    </w:p>
    <w:p>
      <w:pPr>
        <w:ind w:left="964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724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24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71672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245" cy="635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F-3</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7380" w:type="dxa"/>
            <w:vAlign w:val="bottom"/>
            <w:gridSpan w:val="3"/>
          </w:tcPr>
          <w:p>
            <w:pPr>
              <w:jc w:val="center"/>
              <w:ind w:right="3833"/>
              <w:spacing w:after="0"/>
              <w:rPr>
                <w:sz w:val="20"/>
                <w:szCs w:val="20"/>
                <w:color w:val="auto"/>
              </w:rPr>
            </w:pPr>
            <w:r>
              <w:rPr>
                <w:rFonts w:ascii="Times New Roman" w:cs="Times New Roman" w:eastAsia="Times New Roman" w:hAnsi="Times New Roman"/>
                <w:sz w:val="13"/>
                <w:szCs w:val="13"/>
                <w:b w:val="1"/>
                <w:bCs w:val="1"/>
                <w:i w:val="1"/>
                <w:iCs w:val="1"/>
                <w:color w:val="auto"/>
              </w:rPr>
              <w:t>UNDER</w:t>
            </w:r>
          </w:p>
        </w:tc>
      </w:tr>
      <w:tr>
        <w:trPr>
          <w:trHeight w:val="177"/>
        </w:trPr>
        <w:tc>
          <w:tcPr>
            <w:tcW w:w="3900" w:type="dxa"/>
            <w:vAlign w:val="bottom"/>
          </w:tcPr>
          <w:p>
            <w:pPr>
              <w:spacing w:after="0"/>
              <w:rPr>
                <w:sz w:val="15"/>
                <w:szCs w:val="15"/>
                <w:color w:val="auto"/>
              </w:rPr>
            </w:pPr>
          </w:p>
        </w:tc>
        <w:tc>
          <w:tcPr>
            <w:tcW w:w="7380" w:type="dxa"/>
            <w:vAlign w:val="bottom"/>
            <w:gridSpan w:val="3"/>
          </w:tcPr>
          <w:p>
            <w:pPr>
              <w:jc w:val="center"/>
              <w:ind w:right="3833"/>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tc>
      </w:tr>
      <w:tr>
        <w:trPr>
          <w:trHeight w:val="309"/>
        </w:trPr>
        <w:tc>
          <w:tcPr>
            <w:tcW w:w="3900" w:type="dxa"/>
            <w:vAlign w:val="bottom"/>
          </w:tcPr>
          <w:p>
            <w:pPr>
              <w:spacing w:after="0"/>
              <w:rPr>
                <w:sz w:val="24"/>
                <w:szCs w:val="24"/>
                <w:color w:val="auto"/>
              </w:rPr>
            </w:pPr>
          </w:p>
        </w:tc>
        <w:tc>
          <w:tcPr>
            <w:tcW w:w="7380" w:type="dxa"/>
            <w:vAlign w:val="bottom"/>
            <w:gridSpan w:val="3"/>
          </w:tcPr>
          <w:p>
            <w:pPr>
              <w:jc w:val="center"/>
              <w:ind w:right="3813"/>
              <w:spacing w:after="0"/>
              <w:rPr>
                <w:sz w:val="20"/>
                <w:szCs w:val="20"/>
                <w:color w:val="auto"/>
              </w:rPr>
            </w:pPr>
            <w:r>
              <w:rPr>
                <w:rFonts w:ascii="Times New Roman" w:cs="Times New Roman" w:eastAsia="Times New Roman" w:hAnsi="Times New Roman"/>
                <w:sz w:val="13"/>
                <w:szCs w:val="13"/>
                <w:b w:val="1"/>
                <w:bCs w:val="1"/>
                <w:color w:val="auto"/>
              </w:rPr>
              <w:t>AIFU Inc.</w:t>
            </w:r>
          </w:p>
        </w:tc>
      </w:tr>
      <w:tr>
        <w:trPr>
          <w:trHeight w:val="173"/>
        </w:trPr>
        <w:tc>
          <w:tcPr>
            <w:tcW w:w="3900" w:type="dxa"/>
            <w:vAlign w:val="bottom"/>
          </w:tcPr>
          <w:p>
            <w:pPr>
              <w:spacing w:after="0"/>
              <w:rPr>
                <w:sz w:val="15"/>
                <w:szCs w:val="15"/>
                <w:color w:val="auto"/>
              </w:rPr>
            </w:pPr>
          </w:p>
        </w:tc>
        <w:tc>
          <w:tcPr>
            <w:tcW w:w="7380" w:type="dxa"/>
            <w:vAlign w:val="bottom"/>
            <w:gridSpan w:val="3"/>
          </w:tcPr>
          <w:p>
            <w:pPr>
              <w:jc w:val="center"/>
              <w:ind w:right="3833"/>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r>
      <w:tr>
        <w:trPr>
          <w:trHeight w:val="309"/>
        </w:trPr>
        <w:tc>
          <w:tcPr>
            <w:tcW w:w="3900" w:type="dxa"/>
            <w:vAlign w:val="bottom"/>
          </w:tcPr>
          <w:p>
            <w:pPr>
              <w:spacing w:after="0"/>
              <w:rPr>
                <w:sz w:val="24"/>
                <w:szCs w:val="24"/>
                <w:color w:val="auto"/>
              </w:rPr>
            </w:pPr>
          </w:p>
        </w:tc>
        <w:tc>
          <w:tcPr>
            <w:tcW w:w="7380" w:type="dxa"/>
            <w:vAlign w:val="bottom"/>
            <w:gridSpan w:val="3"/>
          </w:tcPr>
          <w:p>
            <w:pPr>
              <w:jc w:val="center"/>
              <w:ind w:right="3813"/>
              <w:spacing w:after="0"/>
              <w:rPr>
                <w:sz w:val="20"/>
                <w:szCs w:val="20"/>
                <w:color w:val="auto"/>
              </w:rPr>
            </w:pPr>
            <w:r>
              <w:rPr>
                <w:rFonts w:ascii="Times New Roman" w:cs="Times New Roman" w:eastAsia="Times New Roman" w:hAnsi="Times New Roman"/>
                <w:sz w:val="13"/>
                <w:szCs w:val="13"/>
                <w:b w:val="1"/>
                <w:bCs w:val="1"/>
                <w:color w:val="auto"/>
              </w:rPr>
              <w:t>Not Applicable</w:t>
            </w:r>
          </w:p>
        </w:tc>
      </w:tr>
      <w:tr>
        <w:trPr>
          <w:trHeight w:val="173"/>
        </w:trPr>
        <w:tc>
          <w:tcPr>
            <w:tcW w:w="3900" w:type="dxa"/>
            <w:vAlign w:val="bottom"/>
          </w:tcPr>
          <w:p>
            <w:pPr>
              <w:spacing w:after="0"/>
              <w:rPr>
                <w:sz w:val="15"/>
                <w:szCs w:val="15"/>
                <w:color w:val="auto"/>
              </w:rPr>
            </w:pPr>
          </w:p>
        </w:tc>
        <w:tc>
          <w:tcPr>
            <w:tcW w:w="7380" w:type="dxa"/>
            <w:vAlign w:val="bottom"/>
            <w:gridSpan w:val="3"/>
          </w:tcPr>
          <w:p>
            <w:pPr>
              <w:jc w:val="center"/>
              <w:ind w:right="3833"/>
              <w:spacing w:after="0"/>
              <w:rPr>
                <w:sz w:val="20"/>
                <w:szCs w:val="20"/>
                <w:color w:val="auto"/>
              </w:rPr>
            </w:pPr>
            <w:r>
              <w:rPr>
                <w:rFonts w:ascii="Times New Roman" w:cs="Times New Roman" w:eastAsia="Times New Roman" w:hAnsi="Times New Roman"/>
                <w:sz w:val="13"/>
                <w:szCs w:val="13"/>
                <w:color w:val="auto"/>
              </w:rPr>
              <w:t>(Translation of Registrant’s name into English)</w:t>
            </w:r>
          </w:p>
        </w:tc>
      </w:tr>
      <w:tr>
        <w:trPr>
          <w:trHeight w:val="322"/>
        </w:trPr>
        <w:tc>
          <w:tcPr>
            <w:tcW w:w="3900" w:type="dxa"/>
            <w:vAlign w:val="bottom"/>
            <w:tcBorders>
              <w:bottom w:val="single" w:sz="8" w:color="auto"/>
            </w:tcBorders>
          </w:tcPr>
          <w:p>
            <w:pPr>
              <w:jc w:val="center"/>
              <w:ind w:left="1553"/>
              <w:spacing w:after="0"/>
              <w:rPr>
                <w:sz w:val="20"/>
                <w:szCs w:val="20"/>
                <w:color w:val="auto"/>
              </w:rPr>
            </w:pPr>
            <w:r>
              <w:rPr>
                <w:rFonts w:ascii="Times New Roman" w:cs="Times New Roman" w:eastAsia="Times New Roman" w:hAnsi="Times New Roman"/>
                <w:sz w:val="13"/>
                <w:szCs w:val="13"/>
                <w:b w:val="1"/>
                <w:bCs w:val="1"/>
                <w:color w:val="auto"/>
              </w:rPr>
              <w:t>Cayman Islands</w:t>
            </w:r>
          </w:p>
        </w:tc>
        <w:tc>
          <w:tcPr>
            <w:tcW w:w="1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tc>
      </w:tr>
      <w:tr>
        <w:trPr>
          <w:trHeight w:val="148"/>
        </w:trPr>
        <w:tc>
          <w:tcPr>
            <w:tcW w:w="3900" w:type="dxa"/>
            <w:vAlign w:val="bottom"/>
          </w:tcPr>
          <w:p>
            <w:pPr>
              <w:jc w:val="center"/>
              <w:ind w:left="1533"/>
              <w:spacing w:after="0" w:line="148"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(I.R.S. Employer</w:t>
            </w:r>
          </w:p>
        </w:tc>
      </w:tr>
      <w:tr>
        <w:trPr>
          <w:trHeight w:val="173"/>
        </w:trPr>
        <w:tc>
          <w:tcPr>
            <w:tcW w:w="3900" w:type="dxa"/>
            <w:vAlign w:val="bottom"/>
          </w:tcPr>
          <w:p>
            <w:pPr>
              <w:jc w:val="center"/>
              <w:ind w:left="1573"/>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r>
    </w:tbl>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Room 1, Building 10,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Jinzhong Guobin Hui Qinyuan 2nd Road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Lihu Community, Xili Street</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Shenzhen, 518055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People’s Republic of China</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+86 755 22671879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and telephone number of Registrant’s principal executive offices)</w:t>
      </w:r>
    </w:p>
    <w:p>
      <w:pPr>
        <w:spacing w:after="0" w:line="15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Cogency Global Inc.</w:t>
      </w:r>
    </w:p>
    <w:p>
      <w:pPr>
        <w:ind w:left="4740"/>
        <w:spacing w:after="0" w:line="208" w:lineRule="auto"/>
        <w:rPr>
          <w:sz w:val="20"/>
          <w:szCs w:val="20"/>
          <w:color w:val="auto"/>
        </w:rPr>
      </w:pPr>
      <w:r>
        <w:rPr>
          <w:rFonts w:ascii="Times New Roman" w:cs="Times New Roman" w:eastAsia="Times New Roman" w:hAnsi="Times New Roman"/>
          <w:sz w:val="13"/>
          <w:szCs w:val="13"/>
          <w:b w:val="1"/>
          <w:bCs w:val="1"/>
          <w:color w:val="auto"/>
        </w:rPr>
        <w:t>122 East 42</w:t>
      </w:r>
      <w:r>
        <w:rPr>
          <w:rFonts w:ascii="Times New Roman" w:cs="Times New Roman" w:eastAsia="Times New Roman" w:hAnsi="Times New Roman"/>
          <w:sz w:val="22"/>
          <w:szCs w:val="22"/>
          <w:b w:val="1"/>
          <w:bCs w:val="1"/>
          <w:color w:val="auto"/>
          <w:vertAlign w:val="superscript"/>
        </w:rPr>
        <w:t>nd</w:t>
      </w:r>
      <w:r>
        <w:rPr>
          <w:rFonts w:ascii="Times New Roman" w:cs="Times New Roman" w:eastAsia="Times New Roman" w:hAnsi="Times New Roman"/>
          <w:sz w:val="13"/>
          <w:szCs w:val="13"/>
          <w:b w:val="1"/>
          <w:bCs w:val="1"/>
          <w:color w:val="auto"/>
        </w:rPr>
        <w:t xml:space="preserve"> Street, 18</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3"/>
          <w:szCs w:val="13"/>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New York, NY 10168</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(800) 221-0102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address, and telephone number of agent for service)</w:t>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Steve Lin, Esq.</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Han Kun Law Offices LLP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Rooms 4301-10, 43/F., Gloucester Tower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Landmark</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15 Queen’s Road Central</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Hong Kong</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+852 2820 5600</w:t>
      </w:r>
    </w:p>
    <w:p>
      <w:pPr>
        <w:spacing w:after="0" w:line="15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color w:val="auto"/>
        </w:rPr>
        <w:t>Approximate date of commencement of proposed sale to the public: From time to time after the effective date of this registration statement.</w:t>
      </w:r>
    </w:p>
    <w:p>
      <w:pPr>
        <w:spacing w:after="0" w:line="141" w:lineRule="exact"/>
        <w:rPr>
          <w:sz w:val="24"/>
          <w:szCs w:val="24"/>
          <w:color w:val="auto"/>
        </w:rPr>
      </w:pPr>
    </w:p>
    <w:p>
      <w:pPr>
        <w:ind w:left="240"/>
        <w:spacing w:after="0" w:line="150" w:lineRule="exact"/>
        <w:rPr>
          <w:sz w:val="20"/>
          <w:szCs w:val="20"/>
          <w:color w:val="auto"/>
        </w:rPr>
      </w:pPr>
      <w:r>
        <w:rPr>
          <w:rFonts w:ascii="Times New Roman" w:cs="Times New Roman" w:eastAsia="Times New Roman" w:hAnsi="Times New Roman"/>
          <w:sz w:val="13"/>
          <w:szCs w:val="13"/>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72" w:lineRule="exact"/>
        <w:rPr>
          <w:sz w:val="24"/>
          <w:szCs w:val="24"/>
          <w:color w:val="auto"/>
        </w:rPr>
      </w:pPr>
    </w:p>
    <w:p>
      <w:pPr>
        <w:ind w:left="24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03" w:lineRule="exact"/>
        <w:rPr>
          <w:sz w:val="24"/>
          <w:szCs w:val="24"/>
          <w:color w:val="auto"/>
        </w:rPr>
      </w:pPr>
    </w:p>
    <w:p>
      <w:pPr>
        <w:jc w:val="both"/>
        <w:ind w:firstLine="241"/>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8" w:lineRule="exact"/>
        <w:rPr>
          <w:sz w:val="24"/>
          <w:szCs w:val="24"/>
          <w:color w:val="auto"/>
        </w:rPr>
      </w:pPr>
    </w:p>
    <w:p>
      <w:pPr>
        <w:jc w:val="both"/>
        <w:ind w:firstLine="241"/>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28" w:lineRule="exact"/>
        <w:rPr>
          <w:sz w:val="24"/>
          <w:szCs w:val="24"/>
          <w:color w:val="auto"/>
        </w:rPr>
      </w:pPr>
    </w:p>
    <w:p>
      <w:pPr>
        <w:jc w:val="both"/>
        <w:ind w:firstLine="241"/>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28" w:lineRule="exact"/>
        <w:rPr>
          <w:sz w:val="24"/>
          <w:szCs w:val="24"/>
          <w:color w:val="auto"/>
        </w:rPr>
      </w:pPr>
    </w:p>
    <w:p>
      <w:pPr>
        <w:jc w:val="both"/>
        <w:ind w:firstLine="241"/>
        <w:spacing w:after="0" w:line="17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2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w:t>
      </w:r>
    </w:p>
    <w:p>
      <w:pPr>
        <w:spacing w:after="0" w:line="141" w:lineRule="exact"/>
        <w:rPr>
          <w:sz w:val="24"/>
          <w:szCs w:val="24"/>
          <w:color w:val="auto"/>
        </w:rPr>
      </w:pPr>
    </w:p>
    <w:p>
      <w:pPr>
        <w:ind w:left="96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03" w:lineRule="exact"/>
        <w:rPr>
          <w:sz w:val="24"/>
          <w:szCs w:val="24"/>
          <w:color w:val="auto"/>
        </w:rPr>
      </w:pPr>
    </w:p>
    <w:p>
      <w:pPr>
        <w:jc w:val="both"/>
        <w:ind w:firstLine="241"/>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24" w:lineRule="exact"/>
        <w:rPr>
          <w:sz w:val="24"/>
          <w:szCs w:val="24"/>
          <w:color w:val="auto"/>
        </w:rPr>
      </w:pPr>
    </w:p>
    <w:p>
      <w:pPr>
        <w:jc w:val="both"/>
        <w:ind w:firstLine="241"/>
        <w:spacing w:after="0" w:line="280"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23" w:lineRule="exact"/>
        <w:rPr>
          <w:sz w:val="24"/>
          <w:szCs w:val="24"/>
          <w:color w:val="auto"/>
        </w:rPr>
      </w:pPr>
    </w:p>
    <w:p>
      <w:pPr>
        <w:ind w:left="240" w:hanging="240"/>
        <w:spacing w:after="0"/>
        <w:tabs>
          <w:tab w:leader="none" w:pos="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672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24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16724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353060</wp:posOffset>
            </wp:positionV>
            <wp:extent cx="716724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 w:name="page2"/>
    <w:bookmarkEnd w:id="1"/>
    <w:p>
      <w:pPr>
        <w:jc w:val="both"/>
        <w:spacing w:after="0" w:line="302" w:lineRule="auto"/>
        <w:rPr>
          <w:sz w:val="20"/>
          <w:szCs w:val="20"/>
          <w:color w:val="auto"/>
        </w:rPr>
      </w:pPr>
      <w:r>
        <w:rPr>
          <w:rFonts w:ascii="Times New Roman" w:cs="Times New Roman" w:eastAsia="Times New Roman" w:hAnsi="Times New Roman"/>
          <w:sz w:val="13"/>
          <w:szCs w:val="13"/>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FF0000"/>
        </w:rPr>
        <w:t>SUBJECT TO COMPLETION, DATED MAY 26,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120015</wp:posOffset>
            </wp:positionV>
            <wp:extent cx="2716530" cy="1083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6530" cy="108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AIFU Inc.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US$ 300,000,000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Class A Ordinary Shares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Preferred Shares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Warrants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Subscription Rights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Up to 103,747,628 Class A Ordinary Shares Offered by the Selling Shareholders Named Herein</w:t>
      </w:r>
    </w:p>
    <w:p>
      <w:pPr>
        <w:spacing w:after="0" w:line="15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may from time to time in one or more offerings offer and sell our Class A ordinary shares, preferred shares, warrants, subscription rights and/or a combination of such securities, separately or as units, of an aggregate offering price of up to US$300,000,000. We refer to our Class A ordinary shares, preferred shares, warrants, subscription rights and units collectively as “securities” in this prospectus. This prospectus provides a general description of offerings of these securities that we may undertake.</w:t>
      </w:r>
    </w:p>
    <w:p>
      <w:pPr>
        <w:spacing w:after="0" w:line="12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In addition, this prospectus also covers the sale by certain selling shareholders described herein of up to an aggregate of 103,747,628 Class A ordinary shares. We will not receive any of the proceeds from the sale of Class A ordinary shares by selling shareholders.</w:t>
      </w:r>
    </w:p>
    <w:p>
      <w:pPr>
        <w:spacing w:after="0" w:line="11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will provide specific terms of any offered securities and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2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28 of this prospectus.</w:t>
      </w:r>
    </w:p>
    <w:p>
      <w:pPr>
        <w:spacing w:after="0" w:line="125"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Pursuant to General Instruction I.B.5 of Form F-3, in no event will we sell the securities covered hereby in a public primary offering with a value exceeding one-third of the aggregate market value of our voting and non-voting common equity held by non-affiliates in any 12-month period so long as the aggregate market value of our outstanding voting and non-voting common equity held by non-affiliates remains below US$75,000,000. The aggregate market value of our outstanding voting and non-voting common equity held by non-affiliates was approximately US$50.8 million, which was calculated based on 21,987,212 Class A ordinary shares held by non-affiliates and the per share price of US$2.31, which was the closing price of our Class A ordinary shares on May 15, 2026. During the 12 calendar months prior to and including the date of this prospectus, we have not offered or sold any securities pursuant to General Instruction I.B.5 of Form F-3.</w:t>
      </w:r>
    </w:p>
    <w:p>
      <w:pPr>
        <w:spacing w:after="0" w:line="133"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Our Class A ordinary shares are listed on the Nasdaq Global Select Market, or Nasdaq, under the symbol “AIFU.” On May 22, 2026, the closing price of our Class A ordinary shares on Nasdaq was US$2.17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6724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 w:name="page3"/>
    <w:bookmarkEnd w:id="2"/>
    <w:p>
      <w:pPr>
        <w:jc w:val="both"/>
        <w:ind w:firstLine="241"/>
        <w:spacing w:after="0" w:line="262" w:lineRule="auto"/>
        <w:rPr>
          <w:sz w:val="20"/>
          <w:szCs w:val="20"/>
          <w:color w:val="auto"/>
        </w:rPr>
      </w:pPr>
      <w:r>
        <w:rPr>
          <w:rFonts w:ascii="Times New Roman" w:cs="Times New Roman" w:eastAsia="Times New Roman" w:hAnsi="Times New Roman"/>
          <w:sz w:val="13"/>
          <w:szCs w:val="13"/>
          <w:color w:val="auto"/>
        </w:rPr>
        <w:t>AIFU Inc. is a Cayman Islands holding company primarily operating in China through our PRC subsidiaries, including Zhonglian Enterprise and Xinlian Information, and their subsidiaries in which we hold equity ownership interests. PRC laws, regulations, and rules restrict and impose conditions on direct foreign investment in value-added telecommunication services, and therefore prior to December 27, 2024 we operated our internet-based insurance distribution business through Xinbao Investment and Fanhua RONS Technologies, which we refer to as the former consolidated VIEs in this prospectus. There were historical contractual arrangements among (x) our wholly-owned PRC subsidiaries Fanhua Group Company and Fanlian Investment, (y) the former consolidated VIEs, and (z) the individual nominee shareholders of the former consolidated VIEs (the “Contractual Arrangements”). Except for 49% equity interests that we previously held in Xinbao Investment, we and our shareholders did not have any equity interests in the former consolidated VIEs and relied on the Contractual Arrangements to direct the business operations of the former consolidated VIEs. In December 2024, as part of a share exchange transaction with BGM Group Ltd. (“BGM”), our beneficial ownership in Xinbao Investment and Fanhua RONS Technologies was transferred to BGM in exchange of shares of BGM (“Share Exchange”). The Contractual Arrangements were subsequently terminated. As a result, Xinbao Investment and Fanhua RONS Technologies have been deconsolidated from our consolidated financial statements since December 31, 2024. As of the date of this prospectus, our operations in China are conducted by our PRC subsidiaries and we do not have any VIE structure. As used in this prospectus, “we,” “us,” or “our” refers to AIFU Inc. and its subsidiaries.</w:t>
      </w:r>
    </w:p>
    <w:p>
      <w:pPr>
        <w:spacing w:after="0" w:line="29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3"/>
          <w:szCs w:val="13"/>
          <w:color w:val="auto"/>
        </w:rPr>
        <w:t>We face various legal and operational risks and uncertainties as a company based in and primarily operating in China. Similar to situations of many other countries, the PRC government has significant authority to exert influence on the ability of a China-based company, like us, to conduct its business, accept foreign investments or list on a U.S. stock exchange. For example, the PRC government has historically initiated a series of regulatory actions and statements to regulate business operations in China, including cracking down on illegal activities in the securities market, strengthened supervision on overseas listings by China-based companies, adopting new measures to extend the scope of cybersecurity reviews and data security protection, and expanding the efforts in anti-monopoly enforcement. The PRC government may also regulate our operations by adopting new laws and regulations from time to time. The PRC government has historically published policies that significantly affected certain industries. Furthermore, the PRC government has recently made efforts to exert more oversight and control over securities offerings and other capital markets activities that are conducted overseas and foreign investment in China-based companies like us. Any such actions could significantly limit or completely hinder our ability to offer or continue to offer securities to investors and cause the value of such securities to significantly decline or in extreme cases, become worthless. For a detailed description of risks relating to doing business in China, see “Item 3. Key Information—3.D. Risk Factors—Risks Related to Doing Business in China” in our annual report on Form 20-F for the fiscal year ended December 31, 2025, or the 2025 Form 20-F.</w:t>
      </w:r>
    </w:p>
    <w:p>
      <w:pPr>
        <w:spacing w:after="0" w:line="138"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The Holding Foreign Companies Accountable Act, or the HFCA Act, was enacted on December 18, 2020 and amended by the Consolidated Appropriations Act, 2023 enacted on December 29, 2022. The amended HFCA Act states if the SEC determines that we have filed audit reports issued by a registered public accounting firm that has not been subject to inspection by the PCAOB for two consecutive years, the SEC shall prohibit our shares from being traded on a national securities exchange or in the over-the-counter trading market in the United States. On December 16, 2021, the PCAOB issued its report notifying the SEC of its determination that it was unable to inspect or investigate completely registered public accounting firms headquartered in mainland China or Hong Kong, or the 2021 Determination, including our former auditor. On May 26, 2022, we were conclusively identified by the SEC as a Commission-Identified Issuer under the HFCA Act. On December 15, 2022, the PCAOB issued a report that vacated its 2021 Determination and removed mainland China and Hong Kong from the list of jurisdictions where it is unable to inspect or investigate completely registered public accounting firms.</w:t>
      </w:r>
    </w:p>
    <w:p>
      <w:pPr>
        <w:spacing w:after="0" w:line="134"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the 2021 Determination. As a result, we do not believe we are at risk of having our securities subject to a trading prohibition under the HFCA Act unless a new determination is made by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716724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 w:name="page4"/>
    <w:bookmarkEnd w:id="3"/>
    <w:p>
      <w:pPr>
        <w:jc w:val="both"/>
        <w:ind w:firstLine="241"/>
        <w:spacing w:after="0" w:line="261" w:lineRule="auto"/>
        <w:rPr>
          <w:sz w:val="20"/>
          <w:szCs w:val="20"/>
          <w:color w:val="auto"/>
        </w:rPr>
      </w:pPr>
      <w:r>
        <w:rPr>
          <w:rFonts w:ascii="Times New Roman" w:cs="Times New Roman" w:eastAsia="Times New Roman" w:hAnsi="Times New Roman"/>
          <w:sz w:val="13"/>
          <w:szCs w:val="13"/>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The delisting of our shares, or the threat of their being delisted, may materially and adversely affect the value of your investment. These risks could result in a material adverse change in our operations and the value of our shares, significantly limit or completely hinder our ability to continue to offer securities to investors, or cause the value of such securities to significantly decline or become worthless. See “Item 3. Key Information—3.D. Risk Factors—Risks Related to Our Ordinary Shares—The PCAOB had historically been unable to inspect our auditors in relation to their audit work performed for our financial statements and the inability of the PCAOB to conduct inspections of our auditors in the past has deprived our investors with the benefits of such inspections.” and “Item 3. Key Information—3.D. Risk Factors—Risks Related to Our Ordinary Shares—Our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in our 2025 Form 20-F.</w:t>
      </w:r>
    </w:p>
    <w:p>
      <w:pPr>
        <w:spacing w:after="0" w:line="302" w:lineRule="exact"/>
        <w:rPr>
          <w:sz w:val="20"/>
          <w:szCs w:val="20"/>
          <w:color w:val="auto"/>
        </w:rPr>
      </w:pPr>
    </w:p>
    <w:p>
      <w:pPr>
        <w:jc w:val="both"/>
        <w:ind w:firstLine="239"/>
        <w:spacing w:after="0" w:line="267" w:lineRule="auto"/>
        <w:rPr>
          <w:sz w:val="20"/>
          <w:szCs w:val="20"/>
          <w:color w:val="auto"/>
        </w:rPr>
      </w:pPr>
      <w:r>
        <w:rPr>
          <w:rFonts w:ascii="Times New Roman" w:cs="Times New Roman" w:eastAsia="Times New Roman" w:hAnsi="Times New Roman"/>
          <w:sz w:val="13"/>
          <w:szCs w:val="13"/>
          <w:color w:val="auto"/>
        </w:rPr>
        <w:t>Under PRC law, we may provide funding to our PRC subsidiaries only through capital contributions or loans, and to the former consolidated VIEs only through loans, subject to the satisfaction of applicable government registration and approval requirements. We rely on dividends and other distributions from our PRC subsidiaries to satisfy part of our liquidity requirement. Under the historical Contractual Arrangements among our WFOEs, namely Fanhua Group Company and Fanlian Investment, the former consolidated VIEs, and the shareholders of the former consolidated VIEs, our WFOEs provided consultation and training services to the former consolidated VIEs, and were entitled to all of the economic benefits of the former consolidated VIEs and its subsidiaries in the form of service fees. The historical Contractual Arrangements provided that the former consolidated VIEs shall pay a quarterly fee calculated primarily based on a percentage of its revenues.</w:t>
      </w:r>
    </w:p>
    <w:p>
      <w:pPr>
        <w:spacing w:after="0" w:line="133" w:lineRule="exact"/>
        <w:rPr>
          <w:sz w:val="20"/>
          <w:szCs w:val="20"/>
          <w:color w:val="auto"/>
        </w:rPr>
      </w:pPr>
    </w:p>
    <w:p>
      <w:pPr>
        <w:jc w:val="both"/>
        <w:ind w:firstLine="239"/>
        <w:spacing w:after="0" w:line="263" w:lineRule="auto"/>
        <w:rPr>
          <w:sz w:val="20"/>
          <w:szCs w:val="20"/>
          <w:color w:val="auto"/>
        </w:rPr>
      </w:pPr>
      <w:r>
        <w:rPr>
          <w:rFonts w:ascii="Times New Roman" w:cs="Times New Roman" w:eastAsia="Times New Roman" w:hAnsi="Times New Roman"/>
          <w:sz w:val="13"/>
          <w:szCs w:val="13"/>
          <w:color w:val="auto"/>
        </w:rPr>
        <w:t>Technology consulting and service agreements were entered into between (i) Fanhua Group Company and (ii) Xinbao Investment and each of its subsidiaries on March 1, 2022 and consulting and service agreements were entered into between (i) Fanlian Investment and (ii) Fanhua RONS Technologies and each of its subsidiaries. No service fees were incurred in 2023, 2024 and 2025. The cash flows occurred between our subsidiaries and the former consolidated VIEs included the following: (1) cash received by the former consolidated VIEs from our subsidiaries as inter-company advances amounted to RMB39.4 million, RMB46.8 million and nil for the years ended December 31, 2023, 2024 and 2025, respectively; and (2) net commissions received by our subsidiaries from the former consolidated VIEs offset by technology services paid by our subsidiaries to the former consolidated VIEs amounted to RMB56.7 million, RMB34.5 million and nil for the years ended December 31, 2023, 2024 and 2025, respectively. Although we had previously declared and paid cash dividends, we have no plan to declare or pay any dividends in the near future on our Class A ordinary shares. For risks relating to the fund flows of our China operations, see “Item 3. Key Information—3.D. Risk Factors—Risks Related to Doing Business in China—We rely principally on dividends and other distributions on equity paid by our subsidiaries to fund any cash and financing requirements we may have, and any limitation on the ability of our subsidiaries to make payments to us could have a material adverse effect on our ability to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6724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 w:name="page5"/>
    <w:bookmarkEnd w:id="4"/>
    <w:p>
      <w:pPr>
        <w:jc w:val="both"/>
        <w:ind w:firstLine="239"/>
        <w:spacing w:after="0" w:line="261" w:lineRule="auto"/>
        <w:rPr>
          <w:sz w:val="20"/>
          <w:szCs w:val="20"/>
          <w:color w:val="auto"/>
        </w:rPr>
      </w:pPr>
      <w:r>
        <w:rPr>
          <w:rFonts w:ascii="Times New Roman" w:cs="Times New Roman" w:eastAsia="Times New Roman" w:hAnsi="Times New Roman"/>
          <w:sz w:val="13"/>
          <w:szCs w:val="13"/>
          <w:color w:val="auto"/>
        </w:rPr>
        <w:t>As of the date of this prospectus, we do not have cash management policies and procedures in place that dictate how funds are transferred through our organization. Rather, the funds can be transferred in accordance with the applicable PRC laws and regulations, subject to satisfaction of applicable government registration and approval requirements. To the extent cash or assets are held in mainland China or by a mainland China entity, the funds or assets may not be available to fund operations or for other use outside of mainland China due to the intervention in or imposition of restrictions and limitations on the ability of AIFU Inc. or our subsidiaries by the PRC government to transfer cash or assets. While there are currently no such restrictions or limitations in Hong Kong on cash transfers to, or from, entities in Hong Kong, if certain PRC laws and regulations, including existing laws and regulations and those enacted or promulgated in the future, were to become applicable to our Hong Kong subsidiaries in the future, and to the extent our cash or assets are in Hong Kong or a Hong Kong entity, such funds or assets may not be available due to the interventions in or imposition of restrictions and limitations on our ability to transfer funds or assets by the PRC government. AIFU Inc.’s ability to pay dividends, if any, to its shareholders and to service any debt it may incur will depend upon dividends paid by the WFOEs. Under PRC laws and regulations, the WFOEs are subject to certain restrictions with respect to paying dividends or otherwise transferring any of their net assets offshore to AIFU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The WFOEs are required to set aside at least 10% of their respective after-tax profits each year, after making up previous years’ accumulated losses, if any, to fund certain statutory reserve funds, until the aggregate amount of such a fund reaches 50% of their respective registered capital. At its discretion, each of the WFOEs may allocate a portion of its after-tax profits based on PRC GAAP to discretional funds. As a result, the WFOEs may not have sufficient distributable profits to pay dividends to us in the near future.</w:t>
      </w:r>
    </w:p>
    <w:p>
      <w:pPr>
        <w:spacing w:after="0" w:line="134" w:lineRule="exact"/>
        <w:rPr>
          <w:sz w:val="20"/>
          <w:szCs w:val="20"/>
          <w:color w:val="auto"/>
        </w:rPr>
      </w:pPr>
    </w:p>
    <w:p>
      <w:pPr>
        <w:jc w:val="both"/>
        <w:ind w:firstLine="241"/>
        <w:spacing w:after="0" w:line="280" w:lineRule="auto"/>
        <w:rPr>
          <w:sz w:val="20"/>
          <w:szCs w:val="20"/>
          <w:color w:val="auto"/>
        </w:rPr>
      </w:pPr>
      <w:r>
        <w:rPr>
          <w:rFonts w:ascii="Times New Roman" w:cs="Times New Roman" w:eastAsia="Times New Roman" w:hAnsi="Times New Roman"/>
          <w:sz w:val="13"/>
          <w:szCs w:val="13"/>
          <w:b w:val="1"/>
          <w:bCs w:val="1"/>
          <w:color w:val="auto"/>
        </w:rPr>
        <w:t>Investing in these securities involves certain risks. Please see the “Risk Factors” in Item 3.D of our most recent annual report on Form 20-F incorporated by reference in this prospectus, the “Risk Factors” contained in this prospectus, and the risks described in any applicable prospectus supplement, for a discussion of the factors you should consider carefully before making a decision to invest in our securities.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This prospectus may not be used to offer or sell any securities unless accompanied by a prospectus supplement.</w:t>
      </w:r>
    </w:p>
    <w:p>
      <w:pPr>
        <w:spacing w:after="0" w:line="168" w:lineRule="exact"/>
        <w:rPr>
          <w:sz w:val="20"/>
          <w:szCs w:val="20"/>
          <w:color w:val="auto"/>
        </w:rPr>
      </w:pPr>
    </w:p>
    <w:p>
      <w:pPr>
        <w:jc w:val="both"/>
        <w:ind w:firstLine="241"/>
        <w:spacing w:after="0" w:line="302"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ind w:left="4560"/>
              <w:spacing w:after="0"/>
              <w:rPr>
                <w:sz w:val="20"/>
                <w:szCs w:val="20"/>
                <w:color w:val="auto"/>
              </w:rPr>
            </w:pPr>
            <w:r>
              <w:rPr>
                <w:rFonts w:ascii="Times New Roman" w:cs="Times New Roman" w:eastAsia="Times New Roman" w:hAnsi="Times New Roman"/>
                <w:sz w:val="13"/>
                <w:szCs w:val="13"/>
                <w:color w:val="auto"/>
              </w:rPr>
              <w:t>The date of this prospectus is</w:t>
            </w:r>
          </w:p>
        </w:tc>
        <w:tc>
          <w:tcPr>
            <w:tcW w:w="5020" w:type="dxa"/>
            <w:vAlign w:val="bottom"/>
          </w:tcPr>
          <w:p>
            <w:pPr>
              <w:jc w:val="right"/>
              <w:ind w:right="4493"/>
              <w:spacing w:after="0"/>
              <w:rPr>
                <w:sz w:val="20"/>
                <w:szCs w:val="20"/>
                <w:color w:val="auto"/>
              </w:rPr>
            </w:pPr>
            <w:r>
              <w:rPr>
                <w:rFonts w:ascii="Times New Roman" w:cs="Times New Roman" w:eastAsia="Times New Roman" w:hAnsi="Times New Roman"/>
                <w:sz w:val="13"/>
                <w:szCs w:val="13"/>
                <w:color w:val="auto"/>
              </w:rPr>
              <w:t>, 2026</w:t>
            </w:r>
          </w:p>
        </w:tc>
      </w:tr>
      <w:tr>
        <w:trPr>
          <w:trHeight w:val="322"/>
        </w:trPr>
        <w:tc>
          <w:tcPr>
            <w:tcW w:w="62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9"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4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TABLE OF CONTENTS</w:t>
            </w:r>
          </w:p>
        </w:tc>
      </w:tr>
      <w:tr>
        <w:trPr>
          <w:trHeight w:val="161"/>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40" w:type="dxa"/>
            <w:vAlign w:val="bottom"/>
          </w:tcPr>
          <w:p>
            <w:pPr>
              <w:spacing w:after="0"/>
              <w:rPr>
                <w:sz w:val="13"/>
                <w:szCs w:val="13"/>
                <w:color w:val="auto"/>
              </w:rPr>
            </w:pPr>
          </w:p>
        </w:tc>
      </w:tr>
      <w:tr>
        <w:trPr>
          <w:trHeight w:val="141"/>
        </w:trPr>
        <w:tc>
          <w:tcPr>
            <w:tcW w:w="1660" w:type="dxa"/>
            <w:vAlign w:val="bottom"/>
            <w:tcBorders>
              <w:bottom w:val="single" w:sz="8" w:color="0000EE"/>
            </w:tcBorders>
            <w:gridSpan w:val="9"/>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0000EE"/>
              </w:rPr>
              <w:t>ABOUT THIS PROSPECTUS</w:t>
            </w:r>
          </w:p>
        </w:tc>
        <w:tc>
          <w:tcPr>
            <w:tcW w:w="2580" w:type="dxa"/>
            <w:vAlign w:val="bottom"/>
            <w:tcBorders>
              <w:bottom w:val="single" w:sz="8" w:color="CCEEFF"/>
            </w:tcBorders>
            <w:gridSpan w:val="10"/>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ind w:left="6620"/>
              <w:spacing w:after="0" w:line="131" w:lineRule="exact"/>
              <w:rPr>
                <w:sz w:val="20"/>
                <w:szCs w:val="20"/>
                <w:color w:val="auto"/>
              </w:rPr>
            </w:pPr>
            <w:r>
              <w:rPr>
                <w:rFonts w:ascii="Times New Roman" w:cs="Times New Roman" w:eastAsia="Times New Roman" w:hAnsi="Times New Roman"/>
                <w:sz w:val="13"/>
                <w:szCs w:val="13"/>
                <w:color w:val="auto"/>
              </w:rPr>
              <w:t>ii</w:t>
            </w:r>
          </w:p>
        </w:tc>
      </w:tr>
      <w:tr>
        <w:trPr>
          <w:trHeight w:val="136"/>
        </w:trPr>
        <w:tc>
          <w:tcPr>
            <w:tcW w:w="2180" w:type="dxa"/>
            <w:vAlign w:val="bottom"/>
            <w:tcBorders>
              <w:bottom w:val="single" w:sz="8" w:color="0000EE"/>
            </w:tcBorders>
            <w:gridSpan w:val="12"/>
          </w:tcPr>
          <w:p>
            <w:pPr>
              <w:spacing w:after="0" w:line="131" w:lineRule="exact"/>
              <w:rPr>
                <w:sz w:val="20"/>
                <w:szCs w:val="20"/>
                <w:color w:val="auto"/>
              </w:rPr>
            </w:pPr>
            <w:r>
              <w:rPr>
                <w:rFonts w:ascii="Times New Roman" w:cs="Times New Roman" w:eastAsia="Times New Roman" w:hAnsi="Times New Roman"/>
                <w:sz w:val="13"/>
                <w:szCs w:val="13"/>
                <w:color w:val="0000EE"/>
                <w:w w:val="99"/>
              </w:rPr>
              <w:t>FORWARD-LOOKING STATEMENTS</w:t>
            </w:r>
          </w:p>
        </w:tc>
        <w:tc>
          <w:tcPr>
            <w:tcW w:w="2060" w:type="dxa"/>
            <w:vAlign w:val="bottom"/>
            <w:gridSpan w:val="7"/>
          </w:tcPr>
          <w:p>
            <w:pPr>
              <w:spacing w:after="0"/>
              <w:rPr>
                <w:sz w:val="11"/>
                <w:szCs w:val="11"/>
                <w:color w:val="auto"/>
              </w:rPr>
            </w:pPr>
          </w:p>
        </w:tc>
        <w:tc>
          <w:tcPr>
            <w:tcW w:w="7040" w:type="dxa"/>
            <w:vAlign w:val="bottom"/>
          </w:tcPr>
          <w:p>
            <w:pPr>
              <w:ind w:left="6600"/>
              <w:spacing w:after="0" w:line="131" w:lineRule="exact"/>
              <w:rPr>
                <w:sz w:val="20"/>
                <w:szCs w:val="20"/>
                <w:color w:val="auto"/>
              </w:rPr>
            </w:pPr>
            <w:r>
              <w:rPr>
                <w:rFonts w:ascii="Times New Roman" w:cs="Times New Roman" w:eastAsia="Times New Roman" w:hAnsi="Times New Roman"/>
                <w:sz w:val="13"/>
                <w:szCs w:val="13"/>
                <w:color w:val="auto"/>
              </w:rPr>
              <w:t>iv</w:t>
            </w:r>
          </w:p>
        </w:tc>
      </w:tr>
      <w:tr>
        <w:trPr>
          <w:trHeight w:val="146"/>
        </w:trPr>
        <w:tc>
          <w:tcPr>
            <w:tcW w:w="980" w:type="dxa"/>
            <w:vAlign w:val="bottom"/>
            <w:tcBorders>
              <w:bottom w:val="single" w:sz="8" w:color="0000EE"/>
            </w:tcBorders>
            <w:gridSpan w:val="4"/>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OUR COMPANY</w:t>
            </w:r>
          </w:p>
        </w:tc>
        <w:tc>
          <w:tcPr>
            <w:tcW w:w="3260" w:type="dxa"/>
            <w:vAlign w:val="bottom"/>
            <w:tcBorders>
              <w:bottom w:val="single" w:sz="8" w:color="CCEEFF"/>
            </w:tcBorders>
            <w:gridSpan w:val="15"/>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w w:val="91"/>
              </w:rPr>
              <w:t>1</w:t>
            </w:r>
          </w:p>
        </w:tc>
      </w:tr>
      <w:tr>
        <w:trPr>
          <w:trHeight w:val="131"/>
        </w:trPr>
        <w:tc>
          <w:tcPr>
            <w:tcW w:w="4240" w:type="dxa"/>
            <w:vAlign w:val="bottom"/>
            <w:gridSpan w:val="19"/>
          </w:tcPr>
          <w:p>
            <w:pPr>
              <w:spacing w:after="0" w:line="131" w:lineRule="exact"/>
              <w:rPr>
                <w:sz w:val="20"/>
                <w:szCs w:val="20"/>
                <w:color w:val="auto"/>
              </w:rPr>
            </w:pPr>
            <w:r>
              <w:rPr>
                <w:rFonts w:ascii="Times New Roman" w:cs="Times New Roman" w:eastAsia="Times New Roman" w:hAnsi="Times New Roman"/>
                <w:sz w:val="13"/>
                <w:szCs w:val="13"/>
                <w:color w:val="0000EE"/>
              </w:rPr>
              <w:t>RISK FACTORS</w:t>
            </w:r>
          </w:p>
        </w:tc>
        <w:tc>
          <w:tcPr>
            <w:tcW w:w="7040" w:type="dxa"/>
            <w:vAlign w:val="bottom"/>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12</w:t>
            </w:r>
          </w:p>
        </w:tc>
      </w:tr>
      <w:tr>
        <w:trPr>
          <w:trHeight w:val="25"/>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146"/>
        </w:trPr>
        <w:tc>
          <w:tcPr>
            <w:tcW w:w="1180" w:type="dxa"/>
            <w:vAlign w:val="bottom"/>
            <w:tcBorders>
              <w:bottom w:val="single" w:sz="8" w:color="0000EE"/>
            </w:tcBorders>
            <w:gridSpan w:val="6"/>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USE OF PROCEEDS</w:t>
            </w:r>
          </w:p>
        </w:tc>
        <w:tc>
          <w:tcPr>
            <w:tcW w:w="3060" w:type="dxa"/>
            <w:vAlign w:val="bottom"/>
            <w:tcBorders>
              <w:bottom w:val="single" w:sz="8" w:color="CCEEFF"/>
            </w:tcBorders>
            <w:gridSpan w:val="13"/>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13</w:t>
            </w:r>
          </w:p>
        </w:tc>
      </w:tr>
      <w:tr>
        <w:trPr>
          <w:trHeight w:val="136"/>
        </w:trPr>
        <w:tc>
          <w:tcPr>
            <w:tcW w:w="2140" w:type="dxa"/>
            <w:vAlign w:val="bottom"/>
            <w:tcBorders>
              <w:bottom w:val="single" w:sz="8" w:color="0000EE"/>
            </w:tcBorders>
            <w:gridSpan w:val="11"/>
          </w:tcPr>
          <w:p>
            <w:pPr>
              <w:spacing w:after="0" w:line="131" w:lineRule="exact"/>
              <w:rPr>
                <w:sz w:val="20"/>
                <w:szCs w:val="20"/>
                <w:color w:val="auto"/>
              </w:rPr>
            </w:pPr>
            <w:r>
              <w:rPr>
                <w:rFonts w:ascii="Times New Roman" w:cs="Times New Roman" w:eastAsia="Times New Roman" w:hAnsi="Times New Roman"/>
                <w:sz w:val="13"/>
                <w:szCs w:val="13"/>
                <w:color w:val="0000EE"/>
              </w:rPr>
              <w:t>DESCRIPTION OF SHARE CAPITAL</w:t>
            </w:r>
          </w:p>
        </w:tc>
        <w:tc>
          <w:tcPr>
            <w:tcW w:w="2100" w:type="dxa"/>
            <w:vAlign w:val="bottom"/>
            <w:gridSpan w:val="8"/>
          </w:tcPr>
          <w:p>
            <w:pPr>
              <w:spacing w:after="0"/>
              <w:rPr>
                <w:sz w:val="11"/>
                <w:szCs w:val="11"/>
                <w:color w:val="auto"/>
              </w:rPr>
            </w:pPr>
          </w:p>
        </w:tc>
        <w:tc>
          <w:tcPr>
            <w:tcW w:w="7040" w:type="dxa"/>
            <w:vAlign w:val="bottom"/>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14</w:t>
            </w:r>
          </w:p>
        </w:tc>
      </w:tr>
      <w:tr>
        <w:trPr>
          <w:trHeight w:val="146"/>
        </w:trPr>
        <w:tc>
          <w:tcPr>
            <w:tcW w:w="2420" w:type="dxa"/>
            <w:vAlign w:val="bottom"/>
            <w:tcBorders>
              <w:bottom w:val="single" w:sz="8" w:color="0000EE"/>
            </w:tcBorders>
            <w:gridSpan w:val="13"/>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DESCRIPTION OF PREFERRED SHARES</w:t>
            </w:r>
          </w:p>
        </w:tc>
        <w:tc>
          <w:tcPr>
            <w:tcW w:w="1820" w:type="dxa"/>
            <w:vAlign w:val="bottom"/>
            <w:tcBorders>
              <w:bottom w:val="single" w:sz="8" w:color="CCEEFF"/>
            </w:tcBorders>
            <w:gridSpan w:val="6"/>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21</w:t>
            </w:r>
          </w:p>
        </w:tc>
      </w:tr>
      <w:tr>
        <w:trPr>
          <w:trHeight w:val="131"/>
        </w:trPr>
        <w:tc>
          <w:tcPr>
            <w:tcW w:w="4240" w:type="dxa"/>
            <w:vAlign w:val="bottom"/>
            <w:gridSpan w:val="19"/>
          </w:tcPr>
          <w:p>
            <w:pPr>
              <w:spacing w:after="0" w:line="131" w:lineRule="exact"/>
              <w:rPr>
                <w:sz w:val="20"/>
                <w:szCs w:val="20"/>
                <w:color w:val="auto"/>
              </w:rPr>
            </w:pPr>
            <w:r>
              <w:rPr>
                <w:rFonts w:ascii="Times New Roman" w:cs="Times New Roman" w:eastAsia="Times New Roman" w:hAnsi="Times New Roman"/>
                <w:sz w:val="13"/>
                <w:szCs w:val="13"/>
                <w:color w:val="0000EE"/>
              </w:rPr>
              <w:t>DESCRIPTION OF WARRANTS</w:t>
            </w:r>
          </w:p>
        </w:tc>
        <w:tc>
          <w:tcPr>
            <w:tcW w:w="7040" w:type="dxa"/>
            <w:vAlign w:val="bottom"/>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22</w:t>
            </w:r>
          </w:p>
        </w:tc>
      </w:tr>
      <w:tr>
        <w:trPr>
          <w:trHeight w:val="25"/>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146"/>
        </w:trPr>
        <w:tc>
          <w:tcPr>
            <w:tcW w:w="2580" w:type="dxa"/>
            <w:vAlign w:val="bottom"/>
            <w:tcBorders>
              <w:bottom w:val="single" w:sz="8" w:color="0000EE"/>
            </w:tcBorders>
            <w:gridSpan w:val="16"/>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DESCRIPTION OF SUBSCRIPTION RIGHTS</w:t>
            </w:r>
          </w:p>
        </w:tc>
        <w:tc>
          <w:tcPr>
            <w:tcW w:w="1660" w:type="dxa"/>
            <w:vAlign w:val="bottom"/>
            <w:tcBorders>
              <w:bottom w:val="single" w:sz="8" w:color="CCEEFF"/>
            </w:tcBorders>
            <w:gridSpan w:val="3"/>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23</w:t>
            </w:r>
          </w:p>
        </w:tc>
      </w:tr>
      <w:tr>
        <w:trPr>
          <w:trHeight w:val="131"/>
        </w:trPr>
        <w:tc>
          <w:tcPr>
            <w:tcW w:w="4240" w:type="dxa"/>
            <w:vAlign w:val="bottom"/>
            <w:gridSpan w:val="19"/>
          </w:tcPr>
          <w:p>
            <w:pPr>
              <w:spacing w:after="0" w:line="131" w:lineRule="exact"/>
              <w:rPr>
                <w:sz w:val="20"/>
                <w:szCs w:val="20"/>
                <w:color w:val="auto"/>
              </w:rPr>
            </w:pPr>
            <w:r>
              <w:rPr>
                <w:rFonts w:ascii="Times New Roman" w:cs="Times New Roman" w:eastAsia="Times New Roman" w:hAnsi="Times New Roman"/>
                <w:sz w:val="13"/>
                <w:szCs w:val="13"/>
                <w:color w:val="0000EE"/>
              </w:rPr>
              <w:t>DESCRIPTION OF UNITS</w:t>
            </w:r>
          </w:p>
        </w:tc>
        <w:tc>
          <w:tcPr>
            <w:tcW w:w="7040" w:type="dxa"/>
            <w:vAlign w:val="bottom"/>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24</w:t>
            </w:r>
          </w:p>
        </w:tc>
      </w:tr>
      <w:tr>
        <w:trPr>
          <w:trHeight w:val="25"/>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146"/>
        </w:trPr>
        <w:tc>
          <w:tcPr>
            <w:tcW w:w="2540" w:type="dxa"/>
            <w:vAlign w:val="bottom"/>
            <w:tcBorders>
              <w:bottom w:val="single" w:sz="8" w:color="0000EE"/>
            </w:tcBorders>
            <w:gridSpan w:val="15"/>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ENFORCEABILITY OF CIVIL LIABILITIES</w:t>
            </w:r>
          </w:p>
        </w:tc>
        <w:tc>
          <w:tcPr>
            <w:tcW w:w="1700" w:type="dxa"/>
            <w:vAlign w:val="bottom"/>
            <w:tcBorders>
              <w:bottom w:val="single" w:sz="8" w:color="CCEEFF"/>
            </w:tcBorders>
            <w:gridSpan w:val="4"/>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25</w:t>
            </w:r>
          </w:p>
        </w:tc>
      </w:tr>
      <w:tr>
        <w:trPr>
          <w:trHeight w:val="131"/>
        </w:trPr>
        <w:tc>
          <w:tcPr>
            <w:tcW w:w="4240" w:type="dxa"/>
            <w:vAlign w:val="bottom"/>
            <w:gridSpan w:val="19"/>
          </w:tcPr>
          <w:p>
            <w:pPr>
              <w:spacing w:after="0" w:line="131" w:lineRule="exact"/>
              <w:rPr>
                <w:sz w:val="20"/>
                <w:szCs w:val="20"/>
                <w:color w:val="auto"/>
              </w:rPr>
            </w:pPr>
            <w:r>
              <w:rPr>
                <w:rFonts w:ascii="Times New Roman" w:cs="Times New Roman" w:eastAsia="Times New Roman" w:hAnsi="Times New Roman"/>
                <w:sz w:val="13"/>
                <w:szCs w:val="13"/>
                <w:color w:val="0000EE"/>
              </w:rPr>
              <w:t>TAXATION</w:t>
            </w:r>
          </w:p>
        </w:tc>
        <w:tc>
          <w:tcPr>
            <w:tcW w:w="7040" w:type="dxa"/>
            <w:vAlign w:val="bottom"/>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26</w:t>
            </w:r>
          </w:p>
        </w:tc>
      </w:tr>
      <w:tr>
        <w:trPr>
          <w:trHeight w:val="25"/>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146"/>
        </w:trPr>
        <w:tc>
          <w:tcPr>
            <w:tcW w:w="4240" w:type="dxa"/>
            <w:vAlign w:val="bottom"/>
            <w:gridSpan w:val="19"/>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SELLING SHAREHOLDERS</w:t>
            </w:r>
          </w:p>
        </w:tc>
        <w:tc>
          <w:tcPr>
            <w:tcW w:w="7040" w:type="dxa"/>
            <w:vAlign w:val="bottom"/>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27</w:t>
            </w:r>
          </w:p>
        </w:tc>
      </w:tr>
      <w:tr>
        <w:trPr>
          <w:trHeight w:val="131"/>
        </w:trPr>
        <w:tc>
          <w:tcPr>
            <w:tcW w:w="1640" w:type="dxa"/>
            <w:vAlign w:val="bottom"/>
            <w:tcBorders>
              <w:top w:val="single" w:sz="8" w:color="0000EE"/>
            </w:tcBorders>
            <w:gridSpan w:val="8"/>
          </w:tcPr>
          <w:p>
            <w:pPr>
              <w:spacing w:after="0" w:line="131" w:lineRule="exact"/>
              <w:rPr>
                <w:sz w:val="20"/>
                <w:szCs w:val="20"/>
                <w:color w:val="auto"/>
              </w:rPr>
            </w:pPr>
            <w:r>
              <w:rPr>
                <w:rFonts w:ascii="Times New Roman" w:cs="Times New Roman" w:eastAsia="Times New Roman" w:hAnsi="Times New Roman"/>
                <w:sz w:val="13"/>
                <w:szCs w:val="13"/>
                <w:color w:val="0000EE"/>
              </w:rPr>
              <w:t>PLAN OF DISTRIBUTION</w:t>
            </w:r>
          </w:p>
        </w:tc>
        <w:tc>
          <w:tcPr>
            <w:tcW w:w="2600" w:type="dxa"/>
            <w:vAlign w:val="bottom"/>
            <w:tcBorders>
              <w:top w:val="single" w:sz="8" w:color="CCEEFF"/>
            </w:tcBorders>
            <w:gridSpan w:val="11"/>
          </w:tcPr>
          <w:p>
            <w:pPr>
              <w:spacing w:after="0"/>
              <w:rPr>
                <w:sz w:val="11"/>
                <w:szCs w:val="11"/>
                <w:color w:val="auto"/>
              </w:rPr>
            </w:pPr>
          </w:p>
        </w:tc>
        <w:tc>
          <w:tcPr>
            <w:tcW w:w="7040" w:type="dxa"/>
            <w:vAlign w:val="bottom"/>
            <w:tcBorders>
              <w:top w:val="single" w:sz="8" w:color="CCEEFF"/>
            </w:tcBorders>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28</w:t>
            </w:r>
          </w:p>
        </w:tc>
      </w:tr>
      <w:tr>
        <w:trPr>
          <w:trHeight w:val="25"/>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146"/>
        </w:trPr>
        <w:tc>
          <w:tcPr>
            <w:tcW w:w="4240" w:type="dxa"/>
            <w:vAlign w:val="bottom"/>
            <w:gridSpan w:val="19"/>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EXPENSES RELATED TO THE OFFERING</w:t>
            </w:r>
          </w:p>
        </w:tc>
        <w:tc>
          <w:tcPr>
            <w:tcW w:w="7040" w:type="dxa"/>
            <w:vAlign w:val="bottom"/>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32</w:t>
            </w:r>
          </w:p>
        </w:tc>
      </w:tr>
      <w:tr>
        <w:trPr>
          <w:trHeight w:val="136"/>
        </w:trPr>
        <w:tc>
          <w:tcPr>
            <w:tcW w:w="2480" w:type="dxa"/>
            <w:vAlign w:val="bottom"/>
            <w:tcBorders>
              <w:top w:val="single" w:sz="8" w:color="0000EE"/>
            </w:tcBorders>
            <w:gridSpan w:val="14"/>
          </w:tcPr>
          <w:p>
            <w:pPr>
              <w:spacing w:after="0" w:line="131" w:lineRule="exact"/>
              <w:rPr>
                <w:sz w:val="20"/>
                <w:szCs w:val="20"/>
                <w:color w:val="auto"/>
              </w:rPr>
            </w:pPr>
            <w:r>
              <w:rPr>
                <w:rFonts w:ascii="Times New Roman" w:cs="Times New Roman" w:eastAsia="Times New Roman" w:hAnsi="Times New Roman"/>
                <w:sz w:val="13"/>
                <w:szCs w:val="13"/>
                <w:color w:val="0000EE"/>
              </w:rPr>
              <w:t>LEGAL MATTERS</w:t>
            </w:r>
          </w:p>
        </w:tc>
        <w:tc>
          <w:tcPr>
            <w:tcW w:w="1760" w:type="dxa"/>
            <w:vAlign w:val="bottom"/>
            <w:tcBorders>
              <w:top w:val="single" w:sz="8" w:color="CCEEFF"/>
            </w:tcBorders>
            <w:gridSpan w:val="5"/>
          </w:tcPr>
          <w:p>
            <w:pPr>
              <w:spacing w:after="0"/>
              <w:rPr>
                <w:sz w:val="11"/>
                <w:szCs w:val="11"/>
                <w:color w:val="auto"/>
              </w:rPr>
            </w:pPr>
          </w:p>
        </w:tc>
        <w:tc>
          <w:tcPr>
            <w:tcW w:w="7040" w:type="dxa"/>
            <w:vAlign w:val="bottom"/>
            <w:tcBorders>
              <w:top w:val="single" w:sz="8" w:color="CCEEFF"/>
            </w:tcBorders>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32</w:t>
            </w:r>
          </w:p>
        </w:tc>
      </w:tr>
      <w:tr>
        <w:trPr>
          <w:trHeight w:val="146"/>
        </w:trPr>
        <w:tc>
          <w:tcPr>
            <w:tcW w:w="580" w:type="dxa"/>
            <w:vAlign w:val="bottom"/>
            <w:tcBorders>
              <w:top w:val="single" w:sz="8" w:color="0000EE"/>
              <w:bottom w:val="single" w:sz="8" w:color="0000EE"/>
            </w:tcBorders>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w w:val="99"/>
              </w:rPr>
              <w:t>EXPERTS</w:t>
            </w:r>
          </w:p>
        </w:tc>
        <w:tc>
          <w:tcPr>
            <w:tcW w:w="500" w:type="dxa"/>
            <w:vAlign w:val="bottom"/>
            <w:tcBorders>
              <w:top w:val="single" w:sz="8" w:color="0000EE"/>
              <w:bottom w:val="single" w:sz="8" w:color="CCEEFF"/>
            </w:tcBorders>
            <w:gridSpan w:val="4"/>
            <w:shd w:val="clear" w:color="auto" w:fill="CCEEFF"/>
          </w:tcPr>
          <w:p>
            <w:pPr>
              <w:spacing w:after="0"/>
              <w:rPr>
                <w:sz w:val="12"/>
                <w:szCs w:val="12"/>
                <w:color w:val="auto"/>
              </w:rPr>
            </w:pPr>
          </w:p>
        </w:tc>
        <w:tc>
          <w:tcPr>
            <w:tcW w:w="3160" w:type="dxa"/>
            <w:vAlign w:val="bottom"/>
            <w:tcBorders>
              <w:bottom w:val="single" w:sz="8" w:color="CCEEFF"/>
            </w:tcBorders>
            <w:gridSpan w:val="14"/>
            <w:shd w:val="clear" w:color="auto" w:fill="CCEEFF"/>
          </w:tcPr>
          <w:p>
            <w:pPr>
              <w:spacing w:after="0"/>
              <w:rPr>
                <w:sz w:val="12"/>
                <w:szCs w:val="12"/>
                <w:color w:val="auto"/>
              </w:rPr>
            </w:pPr>
          </w:p>
        </w:tc>
        <w:tc>
          <w:tcPr>
            <w:tcW w:w="7040" w:type="dxa"/>
            <w:vAlign w:val="bottom"/>
            <w:tcBorders>
              <w:bottom w:val="single" w:sz="8" w:color="CCEEFF"/>
            </w:tcBorders>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32</w:t>
            </w:r>
          </w:p>
        </w:tc>
      </w:tr>
      <w:tr>
        <w:trPr>
          <w:trHeight w:val="136"/>
        </w:trPr>
        <w:tc>
          <w:tcPr>
            <w:tcW w:w="3540" w:type="dxa"/>
            <w:vAlign w:val="bottom"/>
            <w:tcBorders>
              <w:bottom w:val="single" w:sz="8" w:color="0000EE"/>
            </w:tcBorders>
            <w:gridSpan w:val="18"/>
          </w:tcPr>
          <w:p>
            <w:pPr>
              <w:spacing w:after="0" w:line="131" w:lineRule="exact"/>
              <w:rPr>
                <w:sz w:val="20"/>
                <w:szCs w:val="20"/>
                <w:color w:val="auto"/>
              </w:rPr>
            </w:pPr>
            <w:r>
              <w:rPr>
                <w:rFonts w:ascii="Times New Roman" w:cs="Times New Roman" w:eastAsia="Times New Roman" w:hAnsi="Times New Roman"/>
                <w:sz w:val="13"/>
                <w:szCs w:val="13"/>
                <w:color w:val="0000EE"/>
              </w:rPr>
              <w:t>WHERE YOU CAN FIND MORE INFORMATION ABOUT US</w:t>
            </w:r>
          </w:p>
        </w:tc>
        <w:tc>
          <w:tcPr>
            <w:tcW w:w="700" w:type="dxa"/>
            <w:vAlign w:val="bottom"/>
          </w:tcPr>
          <w:p>
            <w:pPr>
              <w:spacing w:after="0"/>
              <w:rPr>
                <w:sz w:val="11"/>
                <w:szCs w:val="11"/>
                <w:color w:val="auto"/>
              </w:rPr>
            </w:pPr>
          </w:p>
        </w:tc>
        <w:tc>
          <w:tcPr>
            <w:tcW w:w="7040" w:type="dxa"/>
            <w:vAlign w:val="bottom"/>
          </w:tcPr>
          <w:p>
            <w:pPr>
              <w:jc w:val="center"/>
              <w:ind w:left="6193"/>
              <w:spacing w:after="0" w:line="131" w:lineRule="exact"/>
              <w:rPr>
                <w:sz w:val="20"/>
                <w:szCs w:val="20"/>
                <w:color w:val="auto"/>
              </w:rPr>
            </w:pPr>
            <w:r>
              <w:rPr>
                <w:rFonts w:ascii="Times New Roman" w:cs="Times New Roman" w:eastAsia="Times New Roman" w:hAnsi="Times New Roman"/>
                <w:sz w:val="13"/>
                <w:szCs w:val="13"/>
                <w:color w:val="auto"/>
              </w:rPr>
              <w:t>32</w:t>
            </w:r>
          </w:p>
        </w:tc>
      </w:tr>
      <w:tr>
        <w:trPr>
          <w:trHeight w:val="136"/>
        </w:trPr>
        <w:tc>
          <w:tcPr>
            <w:tcW w:w="4240" w:type="dxa"/>
            <w:vAlign w:val="bottom"/>
            <w:gridSpan w:val="19"/>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INCORPORATION OF DOCUMENTS BY REFERENCE</w:t>
            </w:r>
          </w:p>
        </w:tc>
        <w:tc>
          <w:tcPr>
            <w:tcW w:w="7040" w:type="dxa"/>
            <w:vAlign w:val="bottom"/>
            <w:shd w:val="clear" w:color="auto" w:fill="CCEEFF"/>
          </w:tcPr>
          <w:p>
            <w:pPr>
              <w:jc w:val="center"/>
              <w:ind w:left="6193"/>
              <w:spacing w:after="0" w:line="136" w:lineRule="exact"/>
              <w:rPr>
                <w:sz w:val="20"/>
                <w:szCs w:val="20"/>
                <w:color w:val="auto"/>
              </w:rPr>
            </w:pPr>
            <w:r>
              <w:rPr>
                <w:rFonts w:ascii="Times New Roman" w:cs="Times New Roman" w:eastAsia="Times New Roman" w:hAnsi="Times New Roman"/>
                <w:sz w:val="13"/>
                <w:szCs w:val="13"/>
                <w:color w:val="auto"/>
              </w:rPr>
              <w:t>33</w:t>
            </w:r>
          </w:p>
        </w:tc>
      </w:tr>
      <w:tr>
        <w:trPr>
          <w:trHeight w:val="30"/>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We and the selling shareholders are not making an offer to sell the securities or soliciting an offer to buy the securities in any jurisdiction where the offer or sale is not permitted.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6" w:lineRule="exact"/>
        <w:rPr>
          <w:sz w:val="20"/>
          <w:szCs w:val="20"/>
          <w:color w:val="auto"/>
        </w:rPr>
      </w:pPr>
    </w:p>
    <w:p>
      <w:pPr>
        <w:jc w:val="both"/>
        <w:ind w:firstLine="241"/>
        <w:spacing w:after="0" w:line="264" w:lineRule="auto"/>
        <w:rPr>
          <w:sz w:val="20"/>
          <w:szCs w:val="20"/>
          <w:color w:val="auto"/>
        </w:rPr>
      </w:pPr>
      <w:r>
        <w:rPr>
          <w:rFonts w:ascii="Times New Roman" w:cs="Times New Roman" w:eastAsia="Times New Roman" w:hAnsi="Times New Roman"/>
          <w:sz w:val="13"/>
          <w:szCs w:val="13"/>
          <w:color w:val="auto"/>
        </w:rPr>
        <w:t>This prospectus is part of a shelf registration statement that we filed with the Securities and Exchange Commission, or the SEC. By using a shelf registration statement, we or any selling shareholder may, at any time and from time to time, offer and/or sell the securities described in this prospectus in one or more offerings. This prospectus provides you with a general description of the securities offered. We may also add, update or change information contained in this prospectus by means of a prospectus supplement or by incorporating by reference information that we file or furnish to the SEC. If there is any inconsistency between the information in this prospectus and any related prospectus supplement, you should rely on the information in the applicable prospectus supplement.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34"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this prospectus, unless otherwise indicated or unless the context otherwise requires:</w:t>
      </w:r>
    </w:p>
    <w:p>
      <w:pPr>
        <w:spacing w:after="0" w:line="172" w:lineRule="exact"/>
        <w:rPr>
          <w:sz w:val="20"/>
          <w:szCs w:val="20"/>
          <w:color w:val="auto"/>
        </w:rPr>
      </w:pPr>
    </w:p>
    <w:p>
      <w:pPr>
        <w:ind w:left="480" w:hanging="239"/>
        <w:spacing w:after="0" w:line="296"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“ADSs” refers to the American depositary shares, each of which previously represented 20 Class A ordinary shares; on May 20, 2025 we implemented a substitution listing whereby all ADSs were exchanged into Class A ordinary shares, and our ADR facility was terminated;</w:t>
      </w:r>
    </w:p>
    <w:p>
      <w:pPr>
        <w:spacing w:after="0" w:line="113" w:lineRule="exact"/>
        <w:rPr>
          <w:rFonts w:ascii="Times New Roman" w:cs="Times New Roman" w:eastAsia="Times New Roman" w:hAnsi="Times New Roman"/>
          <w:sz w:val="13"/>
          <w:szCs w:val="13"/>
          <w:color w:val="auto"/>
        </w:rPr>
      </w:pPr>
    </w:p>
    <w:p>
      <w:pPr>
        <w:jc w:val="both"/>
        <w:ind w:left="480" w:hanging="239"/>
        <w:spacing w:after="0" w:line="277"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“China” or “the PRC” refers to the People’s Republic of China, including the special administrative regions of Hong Kong and Macau (“Hong Kong ASR” and “Macau SAR”), and only when this prospectus refers to specific laws and regulations adopted by the PRC, reference to “China” or the “PRC” excludes Taiwan, Hong Kong SAR and Macau SAR). Unless the context otherwise indicates, the legal and operational risks associated with operating in China discussed in this prospectus also apply to any operations we may now or in the future carry out in Hong Kong SAR or Macau SAR;</w:t>
      </w:r>
    </w:p>
    <w:p>
      <w:pPr>
        <w:spacing w:after="0" w:line="145"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ordinary shares” refers to our Class A ordinary shares, par value US$0.002 per share, unless otherwise stated;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ordinary shares” refers to our Class B ordinary shares, par value US$0.002 per share, unless otherwise stated;</w:t>
      </w:r>
    </w:p>
    <w:p>
      <w:pPr>
        <w:spacing w:after="0" w:line="171"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“former consolidated VIEs” refers to Shenzhen Xinbao Investment Management Co., Ltd., or Xinbao Investment, Fanhua RONS (Beijing) Technologies Co., Ltd., or Fanhua RONS Technologies, and their respective subsidiaries, all of which have been divested in a share exchange transaction with BGM Group Ltd. (“BGM”) on December 27, 2024;</w:t>
      </w:r>
    </w:p>
    <w:p>
      <w:pPr>
        <w:spacing w:after="0" w:line="113"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“WFOEs” refers to Fanhua Insurance Sales Service Group Company Limited, or Fanhua Group Company, and Beijing Fanlian Investment Co., Ltd., or Fanlian Investment. Fanlian Investment was disposed of in June 2025;</w:t>
      </w:r>
    </w:p>
    <w:p>
      <w:pPr>
        <w:spacing w:after="0" w:line="11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refers to policyholder or our insurance company partner which we define as customer under ASC 606;</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“HK$” and “HK dollars” refers to the legal currency of Hong Kong SAR;</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refers to AIFU Inc., a Cayman Islands holding company;</w:t>
      </w:r>
    </w:p>
    <w:p>
      <w:pPr>
        <w:spacing w:after="0" w:line="171"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“provinces” of China refer to the 23 provinces, the four municipalities directly administered by the central government (Beijing, Shanghai, Tianjin and Chongqing), the five autonomous regions (Xinjiang, Tibet, Inner Mongolia, Ningxia and Guangxi), excluding, solely for the purpose of this prospectus, Taiwan, Hong Kong SAR and Macau SAR;</w:t>
      </w:r>
    </w:p>
    <w:p>
      <w:pPr>
        <w:spacing w:after="0" w:line="11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“RMB” or “Renminbi” refers to the legal currency of China;</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“U.S. dollars,” “$” or “dollars” refers to the legal currency of the United States;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 w:name="page8"/>
    <w:bookmarkEnd w:id="7"/>
    <w:p>
      <w:pPr>
        <w:jc w:val="both"/>
        <w:ind w:left="480" w:hanging="239"/>
        <w:spacing w:after="0" w:line="267" w:lineRule="auto"/>
        <w:tabs>
          <w:tab w:leader="none" w:pos="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“us,” “our company,” “the Company”, “our” or “AIFU” refers to AIFU Inc. (formerly known as CNinsure Inc., Fanhua Inc. and AIX Inc.) and its subsidiaries and, in the context of describing its operations and consolidated financial information, its former consolidated VIEs which are its consolidated affiliated entities, if applicable. As described elsewhere in this prospectus, we did not own these former consolidated VIEs, and the results of the former consolidated VIEs’ operations only accrued to us through the Contractual Arrangements between the former consolidated VIEs, the former consolidated VIEs’ nominee shareholders, and certain of our subsidiaries. Accordingly, in appropriate contexts we will describe the former consolidated VIEs’ activities separately from those of our directly and indirectly owned subsidiaries, and our use of the terms “we,” “us,” and “our” may not include the former consolidated VIEs in those contexts.</w:t>
      </w:r>
    </w:p>
    <w:p>
      <w:pPr>
        <w:spacing w:after="0" w:line="133"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Unless otherwise noted, all translations from Renminbi to U.S. dollars and from U.S. dollars to Renminbi in this prospectus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All discrepancies in any table between the amounts identified as total amounts and the sum of the amounts listed therein are due to rounding.</w:t>
      </w:r>
    </w:p>
    <w:p>
      <w:pPr>
        <w:spacing w:after="0" w:line="13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On October 31, 2024, our then authorized share capital was reclassified as US$10,000,000 divided into (i) 8,000,000,000 Class A ordinary shares of a nominal or par value of US$0.001 each and (ii) 2,000,000,000 Class B ordinary shares of a nominal or par value of US$0.001 each. Each holder of our Class A ordinary shares is entitled to one vote per share, and each holder of our Class B ordinary shares is entitled to 100 votes per share on all matters subject to vote at a general meeting of us.</w:t>
      </w:r>
    </w:p>
    <w:p>
      <w:pPr>
        <w:spacing w:after="0" w:line="12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On May 20, 2025, we terminated the American depositary receipt facility for our ADSs and ceased the listing of the ADSs on Nasdaq. On May 21, 2025, we implemented a 400-for-1 share consolidation (the “First Share Consolidation”), pursuant to which every four hundred (400) issued and authorized Class A ordinary shares and Class B ordinary shares of a par value of US$0.001 each were consolidated into one (1) Class A ordinary shares or Class B ordinary share, respectively, with a par value of US$0.4 per share.</w:t>
      </w:r>
    </w:p>
    <w:p>
      <w:pPr>
        <w:spacing w:after="0" w:line="12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Immediately following the completion of the First Share Consolidation, on May 21, 2025, our authorized share capital was increased to US$4,000,000,000 divided into 10,000,000,000 ordinary shares comprising of (i) 8,000,000,000 Class A ordinary shares of a nominal or par value of US$0.4 each, and (ii) 2,000,000,000 Class B ordinary shares of a nominal or par value of US$0.4 each.</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May 21, 2025, our Class A ordinary shares commenced trading on Nasdaq on a post-Share Consolidation basis in substitution for the ADSs, under the same symbol “AIFU.”</w:t>
      </w:r>
    </w:p>
    <w:p>
      <w:pPr>
        <w:spacing w:after="0" w:line="172"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On April 29, 2026, we obtained shareholder approval at an extraordinary general meeting to effect, among other matters, a second share consolidation (the “Second Share Consolidation”) consisting of the following steps:</w:t>
      </w:r>
    </w:p>
    <w:p>
      <w:pPr>
        <w:spacing w:after="0" w:line="113" w:lineRule="exact"/>
        <w:rPr>
          <w:sz w:val="20"/>
          <w:szCs w:val="20"/>
          <w:color w:val="auto"/>
        </w:rPr>
      </w:pPr>
    </w:p>
    <w:p>
      <w:pPr>
        <w:ind w:left="480" w:hanging="239"/>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reduction in the par value of each issued and unissued Class A ordinary share and Class B ordinary share from US$0.4 per share to US$0.0001 per share (the “Capital Reduction”);</w:t>
      </w:r>
    </w:p>
    <w:p>
      <w:pPr>
        <w:spacing w:after="0" w:line="171" w:lineRule="exact"/>
        <w:rPr>
          <w:rFonts w:ascii="Times New Roman" w:cs="Times New Roman" w:eastAsia="Times New Roman" w:hAnsi="Times New Roman"/>
          <w:sz w:val="13"/>
          <w:szCs w:val="13"/>
          <w:color w:val="auto"/>
        </w:rPr>
      </w:pPr>
    </w:p>
    <w:p>
      <w:pPr>
        <w:jc w:val="both"/>
        <w:ind w:left="480" w:hanging="239"/>
        <w:spacing w:after="0" w:line="270"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Capital Reduction, a consolidation of every twenty (20) issued and unissued Class A ordinary shares of a par value of US$0.0001 each into one Class A ordinary share of a par value of US$0.002 each, and every twenty (20) issued and unissued Class B ordinary shares of a par value of US$0.0001 each into one Class B ordinary share of a par value of US$0.002 each, such that following such share consolidation, the authorized share capital of the Company will be US$1,000,000 divided into 500,000,000 ordinary shares of a nominal or par value of US$0.002 each, comprising of 400,000,000 Class A ordinary shares of a nominal or par value of US$0.002 each and 100,000,000 Class B ordinary shares of a nominal or par value of US$0.002 each; and</w:t>
      </w:r>
    </w:p>
    <w:p>
      <w:pPr>
        <w:spacing w:after="0" w:line="130" w:lineRule="exact"/>
        <w:rPr>
          <w:rFonts w:ascii="Times New Roman" w:cs="Times New Roman" w:eastAsia="Times New Roman" w:hAnsi="Times New Roman"/>
          <w:sz w:val="13"/>
          <w:szCs w:val="13"/>
          <w:color w:val="auto"/>
        </w:rPr>
      </w:pPr>
    </w:p>
    <w:p>
      <w:pPr>
        <w:jc w:val="both"/>
        <w:ind w:left="480" w:hanging="239"/>
        <w:spacing w:after="0" w:line="274"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Second Share Consolidation, an increase in the authorized share capital from US$1,000,000 divided into 500,000,000 ordinary shares of a par value of US$0.002 each, comprising 400,000,000 Class A ordinary shares of a par value of US$0.002 each and 100,000,000 Class B ordinary shares of a par value of US$0.002 each, to US$20,000,000 divided into 10,000,000,000 ordinary shares, comprising of (i) 8,000,000,000 Class A ordinary shares of a nominal or par value of US$0.002 each and (ii) 2,000,000,000 Class B ordinary shares of a nominal or par value of US$0.002 each.</w:t>
      </w:r>
    </w:p>
    <w:p>
      <w:pPr>
        <w:spacing w:after="0" w:line="291" w:lineRule="exact"/>
        <w:rPr>
          <w:sz w:val="20"/>
          <w:szCs w:val="20"/>
          <w:color w:val="auto"/>
        </w:rPr>
      </w:pPr>
    </w:p>
    <w:p>
      <w:pPr>
        <w:jc w:val="both"/>
        <w:ind w:firstLine="239"/>
        <w:spacing w:after="0" w:line="267" w:lineRule="auto"/>
        <w:rPr>
          <w:sz w:val="20"/>
          <w:szCs w:val="20"/>
          <w:color w:val="auto"/>
        </w:rPr>
      </w:pPr>
      <w:r>
        <w:rPr>
          <w:rFonts w:ascii="Times New Roman" w:cs="Times New Roman" w:eastAsia="Times New Roman" w:hAnsi="Times New Roman"/>
          <w:sz w:val="13"/>
          <w:szCs w:val="13"/>
          <w:color w:val="auto"/>
        </w:rPr>
        <w:t>As of the date of this prospectus, the registration of the Second Share Consolidation has been completed at the Registrar of Companies of the Cayman Islands, and the par value of our Class A and Class B ordinary shares is US$0.002 per share. However, the Second Share Consolidation has not yet become market-effective on Nasdaq for trading purposes. We are currently in the process of obtaining Depository Trust Company (DTC) eligibility for the new CUSIP number assigned to our post-consolidation Class A ordinary shares. Upon receiving DTC eligibility, we are required to provide Nasdaq with at least ten (10) days’ prior notice before the Second Share Consolidation can become market-effective. Until the Second Share Consolidation becomes market-effective on Nasdaq, our Class A ordinary shares will continue to trade under the pre-consolidation CUSIP and, for market trading purposes, will reflect the pre-consolidation par value of US$0.4 per share.</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Unless otherwise indicated, all references in this prospectus to the number of issued and outstanding shares are presented on a post-First Share Consolidation but pre-Second Share Consolidation basis.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Accordingly, these figures do not reflect the Capital Reduction, the 20-for-1 share consolidation, or the relevant authorized share capital increase described above.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References in any prospectus supplement to “the accompanying prospectus” are to this prospectus and to “the prospectus” are to this prospectus and the applicable prospectus supplement taken together.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76"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This prospectus and any prospectus supplement, and the information incorporated by reference herein may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that may cause our actual results, performance or achievements to be materially different from those expressed or implied by the forward-looking statements.</w:t>
      </w:r>
    </w:p>
    <w:p>
      <w:pPr>
        <w:spacing w:after="0" w:line="131"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w:t>
      </w:r>
    </w:p>
    <w:p>
      <w:pPr>
        <w:spacing w:after="0" w:line="131"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You should read these statements in conjunction with the risk factors discussed under the heading “Risk Factors” included in the applicable prospectus supplement or under similar headings in other documents which are incorporated by reference in this prospectus. And you should read thoroughly this prospectus and the documents that we refer to in this prospectus thoroughly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34"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You should not rely upon forward-looking statements as predictions of future events. The forward-looking statements made in this prospectus relate only to events or information as of the date on which the statements are made in this prospectus. Except as required by law, we undertake no obligation to update or revise any forward-looking statements, whether as a result of new information, future events or otherwise.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6007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6007100"/>
                    </a:xfrm>
                    <a:prstGeom prst="rect">
                      <a:avLst/>
                    </a:prstGeom>
                    <a:noFill/>
                  </pic:spPr>
                </pic:pic>
              </a:graphicData>
            </a:graphic>
          </wp:anchor>
        </w:drawing>
        <w:t>OUR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16" w:lineRule="exact"/>
        <w:rPr>
          <w:sz w:val="20"/>
          <w:szCs w:val="20"/>
          <w:color w:val="auto"/>
        </w:rPr>
      </w:pPr>
    </w:p>
    <w:p>
      <w:pPr>
        <w:jc w:val="both"/>
        <w:ind w:right="20" w:firstLine="241"/>
        <w:spacing w:after="0" w:line="296" w:lineRule="auto"/>
        <w:rPr>
          <w:sz w:val="20"/>
          <w:szCs w:val="20"/>
          <w:color w:val="auto"/>
        </w:rPr>
      </w:pPr>
      <w:r>
        <w:rPr>
          <w:rFonts w:ascii="Times New Roman" w:cs="Times New Roman" w:eastAsia="Times New Roman" w:hAnsi="Times New Roman"/>
          <w:sz w:val="13"/>
          <w:szCs w:val="13"/>
          <w:color w:val="auto"/>
        </w:rPr>
        <w:t>We are a leading independent financial services platform powered by artificial intelligence. Founded in 1998, we specialize in delivering full-lifecycle insurance solutions and value-added services to individuals and families, with a focus on the mass-affluent and high-net-worth segments.</w:t>
      </w:r>
    </w:p>
    <w:p>
      <w:pPr>
        <w:spacing w:after="0" w:line="53" w:lineRule="exact"/>
        <w:rPr>
          <w:sz w:val="20"/>
          <w:szCs w:val="20"/>
          <w:color w:val="auto"/>
        </w:rPr>
      </w:pPr>
    </w:p>
    <w:p>
      <w:pPr>
        <w:jc w:val="both"/>
        <w:ind w:right="20" w:firstLine="241"/>
        <w:spacing w:after="0" w:line="296" w:lineRule="auto"/>
        <w:rPr>
          <w:sz w:val="20"/>
          <w:szCs w:val="20"/>
          <w:color w:val="auto"/>
        </w:rPr>
      </w:pPr>
      <w:r>
        <w:rPr>
          <w:rFonts w:ascii="Times New Roman" w:cs="Times New Roman" w:eastAsia="Times New Roman" w:hAnsi="Times New Roman"/>
          <w:sz w:val="13"/>
          <w:szCs w:val="13"/>
          <w:color w:val="auto"/>
        </w:rPr>
        <w:t>Through end-to-end integration across the insurance value chain, we have built an ecosystem connecting financial institutions, licensed intermediaries (including independent agencies), and third-party service providers. Our platform provides holistic support and AI-driven solutions to empower partners in enhancing operational efficiency, enabling precision client matching, and facilitating scalable growth.</w:t>
      </w:r>
    </w:p>
    <w:p>
      <w:pPr>
        <w:spacing w:after="0" w:line="5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By deeply integrating technologies such as artificial intelligence, big data analytics, and robotic process automation, we offer a suite of intelligent services, including smart customer engagement, risk forecasting and management, intelligent marketing and client education, as well as compliance management and data security. These capabilities enable us and our partners to expand market reach, reduce operational costs, and deliver faster, more tailored services to end customers.</w:t>
      </w:r>
    </w:p>
    <w:p>
      <w:pPr>
        <w:spacing w:after="0" w:line="6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Against the backdrop of China’s aging population and expanding middle class, demand for retirement planning, health insurance, and wealth management solutions is rising rapidly. To capitalize on these trends, We remain committed to strengthening our AI and data capabilities, advancing the professionalism of our advisory teams, expanding online and offline distribution channels, and deepening integration across our ecosystem to drive industry consolidation and unlock sustained value creation.</w:t>
      </w:r>
    </w:p>
    <w:p>
      <w:pPr>
        <w:spacing w:after="0" w:line="6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As of March 31, 2026, we, through Fanhua Group Company, controlled seven insurance intermediary companies in mainland China, including one insurance agency with a national operating license, four regional agencies and two insurance brokerage firms.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Holding Company Structure and Contractual Arrangements with the Former Consolidated VIEs</w:t>
      </w:r>
    </w:p>
    <w:p>
      <w:pPr>
        <w:spacing w:after="0" w:line="11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AIFU Inc. is a Cayman Islands holding company primarily operating in China through our PRC subsidiaries, including Fanhua Zhonglian Enterprise Image Planning (Shenzhen) Co., Ltd., or Zhonglian Enterprise, and Fanhua Xinlian Information Technology Consulting (Shenzhen) Co., Ltd., or Xinlian Information, and their respective subsidiaries.</w:t>
      </w:r>
    </w:p>
    <w:p>
      <w:pPr>
        <w:spacing w:after="0" w:line="5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currently conduct our insurance agency business in mainland China primarily through our wholly-owned subsidiary Fanhua Group Company and its subsidiaries. As of March 31, 2026, we, through Fanhua Group Company, have controlling equity ownership in one insurance agency with a national operating license, four regional insurance agencies and two insurance brokerage firms. Fanhua Group Company and its direct and indirect subsidiaries hold the licenses and permits necessary to conduct our insurance intermediary business and internet insurance distribution business in China.</w:t>
      </w:r>
    </w:p>
    <w:p>
      <w:pPr>
        <w:spacing w:after="0" w:line="6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following diagram illustrates the corporate structure of us, including the names, places of incorporation and the proportion of ownership interests in our significant subsidiaries and their respective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0"/>
          </w:cols>
          <w:pgMar w:left="400" w:top="796" w:right="399" w:bottom="1440" w:gutter="0" w:footer="0" w:header="0"/>
        </w:sectPr>
      </w:pPr>
    </w:p>
    <w:bookmarkStart w:id="10" w:name="page11"/>
    <w:bookmarkEnd w:id="10"/>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297680"/>
                    </a:xfrm>
                    <a:prstGeom prst="rect">
                      <a:avLst/>
                    </a:prstGeom>
                    <a:noFill/>
                  </pic:spPr>
                </pic:pic>
              </a:graphicData>
            </a:graphic>
          </wp:anchor>
        </w:drawing>
        <w:t>Prior to December 27, 2024, due to restriction on foreign ownership and investment in certain internet-based businesses, we operated our internet-based business in China through the former consolidated VIEs, namely Xinbao Investment and Fanhua RONS Technologies, and their subsidiaries, and relied on the Contractual Arrangements among (x) our wholly-owned PRC subsidiaries Fanhua Group Company and Fanlian Investment, (y) the former consolidated VIEs and (z) the individual nominee shareholders of the former consolidated VIEs to control the business operations of the former consolidated VIEs and their subsidiaries.</w:t>
      </w:r>
    </w:p>
    <w:p>
      <w:pPr>
        <w:spacing w:after="0" w:line="131"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Our historical contractual agreements included: (i) technology consulting and service agreements and consulting and service agreements, which enabled us to receive all of the economic benefits of the former consolidated VIEs and their subsidiaries, (ii) loan agreements, powers of attorney and equity pledge agreements, which provided us with effective control over the former consolidated VIEs and their subsidiaries, and (iii) exclusive purchase option agreements, which provided us with the option to purchase all of the equity interests in the former consolidated VIEs, and (iv) equity pledge agreements, which, in combination of the aforementioned loan agreements, provided us with control over the former consolidated VIEs and their subsidiaries. As a result of the historical Contractual Arrangements, we were able to direct the activities of and derive economic benefits from the former consolidated VIEs and were considered the primary beneficiary of the former consolidated VIEs for accounting purposes. Accordingly, we have consolidated the financial results of the former consolidated VIEs in our consolidated financial statements in accordance with U.S. GAAP.</w:t>
      </w:r>
    </w:p>
    <w:p>
      <w:pPr>
        <w:spacing w:after="0" w:line="134"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3"/>
          <w:szCs w:val="13"/>
          <w:color w:val="auto"/>
        </w:rPr>
        <w:t>In December 2024, as part of a share exchange transaction with BGM, our beneficial ownership in Xinbao Investment and Fanhua RONS Technologies was transferred to BGM in exchange of Class A ordinary shares of BGM. These Contractual Arrangements were subsequently terminated. As a result, Xinbao Investment and Fanhua RONS Technologies have been deconsolidated from our consolidated financial statements since December 31, 2024. As of the date of this prospectus, our operations in China are conducted by our PRC subsidiaries and we do not have any VIE structure.</w:t>
      </w:r>
    </w:p>
    <w:p>
      <w:pPr>
        <w:spacing w:after="0" w:line="125"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In the opinion of Hai Run Law Firm, our PRC legal counsel, (i) the ownership structure relating to the former consolidated VIEs did not violate the existing PRC laws and regulations; (ii) the Contractual Arrangements with the former consolidated VIEs and the individual shareholders were legal, valid and binding obligation of such parties, and enforceable against such parties in accordance with their respective terms; and (iii) the execution, delivery and performance of the Contractual Arrangements did not result in any violation of the provisions of the articles of association and business licenses of the former consolidated VIEs, and any violation of any current PRC laws and regulations.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CSRC Approval and Filing Required for Overseas Securities Offerings</w:t>
      </w:r>
    </w:p>
    <w:p>
      <w:pPr>
        <w:spacing w:after="0" w:line="176" w:lineRule="exact"/>
        <w:rPr>
          <w:sz w:val="20"/>
          <w:szCs w:val="20"/>
          <w:color w:val="auto"/>
        </w:rPr>
      </w:pPr>
    </w:p>
    <w:p>
      <w:pPr>
        <w:jc w:val="both"/>
        <w:ind w:firstLine="241"/>
        <w:spacing w:after="0" w:line="261" w:lineRule="auto"/>
        <w:rPr>
          <w:sz w:val="20"/>
          <w:szCs w:val="20"/>
          <w:color w:val="auto"/>
        </w:rPr>
      </w:pPr>
      <w:r>
        <w:rPr>
          <w:rFonts w:ascii="Times New Roman" w:cs="Times New Roman" w:eastAsia="Times New Roman" w:hAnsi="Times New Roman"/>
          <w:sz w:val="13"/>
          <w:szCs w:val="13"/>
          <w:color w:val="auto"/>
        </w:rPr>
        <w:t>On February 17, 2023, the China Securities Regulatory Commission, or the CSRC, issued the New Overseas Listing Rules and five guidelines, or collectively, the Filing Rules, which came into effect on March 31, 2023. Under the Filing Rules, a filing-based regulatory system shall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The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securities offerings and listings in an overseas market may also be subject to the filing requirements under the Filing Rules. In addition, we cannot guarantee that new rules or regulations promulgated in the future will not impose any additional requirement on us or otherwise to tighten the regulations on PRC companies seeking overseas offering or listing. Any failure to obtain the relevant approval or complete the filings and other relevant regulatory procedures may subject us to regulatory actions or other penalties from the CSRC or other PRC regulatory authorities, which may have a material adverse effect on our business, operations or financial conditions. See “Item 3. Key Information— 3.D. Risk Factors—Risks Related to Doing Business in China—The approval of and filing with the CSRC or other PRC government authorities may be required in connection with our future offshore offerings, capital raising activities and acquisitions or other trading arrangements of domestic enterprises conducted by China-based issuers. We must file with the CSRC within three business days after the issuance, and also may be required to go through cybersecurity review under the new laws and the draft laws and regulations of mainland China if authorities identifying us as a critical information infrastructure operator or requiring us to going through review by the CAC, which remains unclear. And, if required, we cannot predict whether or for how long we will be able to obtain such approval or complete such filing or other regulatory procedures” in the 2025 Form 20-F.</w:t>
      </w:r>
    </w:p>
    <w:p>
      <w:pPr>
        <w:spacing w:after="0" w:line="299" w:lineRule="exact"/>
        <w:rPr>
          <w:sz w:val="20"/>
          <w:szCs w:val="20"/>
          <w:color w:val="auto"/>
        </w:rPr>
      </w:pPr>
    </w:p>
    <w:p>
      <w:pPr>
        <w:jc w:val="both"/>
        <w:ind w:right="20" w:firstLine="241"/>
        <w:spacing w:after="0" w:line="296" w:lineRule="auto"/>
        <w:rPr>
          <w:sz w:val="20"/>
          <w:szCs w:val="20"/>
          <w:color w:val="auto"/>
        </w:rPr>
      </w:pPr>
      <w:r>
        <w:rPr>
          <w:rFonts w:ascii="Times New Roman" w:cs="Times New Roman" w:eastAsia="Times New Roman" w:hAnsi="Times New Roman"/>
          <w:sz w:val="13"/>
          <w:szCs w:val="13"/>
          <w:color w:val="auto"/>
        </w:rPr>
        <w:t>We are required to make a filing with the CSRC after the completion of any future offering made pursuant to this prospectus and for our other future offerings and listing of our securities in an overseas market under the Filing Rules.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0"/>
          </w:cols>
          <w:pgMar w:left="400" w:top="800"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991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3991610"/>
                    </a:xfrm>
                    <a:prstGeom prst="rect">
                      <a:avLst/>
                    </a:prstGeom>
                    <a:noFill/>
                  </pic:spPr>
                </pic:pic>
              </a:graphicData>
            </a:graphic>
          </wp:anchor>
        </w:drawing>
        <w:t>Permissions and Licenses for Our Operations in PRC</w:t>
      </w:r>
    </w:p>
    <w:p>
      <w:pPr>
        <w:spacing w:after="0" w:line="176"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We currently conduct our business primarily through our subsidiaries in China, and historically through the former consolidated VIEs and their subsidiaries in China until December 27, 2024. As of the date of this prospectus, our subsidiaries have obtained the requisite licenses and permits from the PRC government authorities that are material for our operations in China, including, among others, the business license, insurance distribution licenses, insurance broker licenses. Theses licenses are the only permissions and approvals that our PRC subsidiaries are required to obtain to conduct our business in China. However, there can be no assurance that we will be able to obtain, renew and/or convert all of the approvals, licenses, and permits required for our existing business operations upon their expiration in a timely manner or duly complete necessary registration or filings with the relevant governmental authorities for any of our new business.</w:t>
      </w:r>
    </w:p>
    <w:p>
      <w:pPr>
        <w:spacing w:after="0" w:line="133"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3"/>
          <w:szCs w:val="13"/>
          <w:color w:val="auto"/>
        </w:rPr>
        <w:t>In addition, as described above, the PRC government has recently tightened the regulation of cybersecurity, and indicated an intent to exert more oversight and control over securities offerings and other capital markets activities that are conducted overseas and foreign investment in China-based companies like us. In addition, we are required to complete the filing with the CSRC for our future overseas securities offerings under the Filing Rules.</w:t>
      </w:r>
    </w:p>
    <w:p>
      <w:pPr>
        <w:spacing w:after="0" w:line="125"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3"/>
          <w:szCs w:val="13"/>
          <w:color w:val="auto"/>
        </w:rPr>
        <w:t>We manage our business operations in a prudent manner where we determine whether a particular regulatory permission or approval is required based on opinions and guidance from our in-house and external legal counsel and relevant governmental authorities, as the case may be. As of the date of this prospectus, we have not received any regulatory notice requesting us to obtain a permission or approval that we have concluded is not required. However, given the significant uncertainties of interpretation and implementation of relevant laws and regulations and the enforcement practice by relevant government authorities, we may be required to apply for and obtain additional licenses, permits, filings, or approvals for our business operations in the future. If (i) we or our PRC subsidiaries do not receive or maintain any required permission or approval, (ii) we or our PRC subsidiaries inadvertently concluded that certain permissions or approvals have been acquired or are not required, or (iii) applicable laws, regulations, or interpretations thereof change, and we or our PRC subsidiaries become subject to the requirement of additional permissions or approvals in the future, we may have to expend significant time and costs to procure them. If we are unable to do so, in a timely manner or otherwise, we may become subject to sanctions imposed by the PRC regulatory authorities, which could include fines, penalties, and proceedings against us, and other forms of sanctions, and our ability to conduct our business, invest in mainland China as foreign investments or accept foreign investments, or list on a U.S. or other overseas exchange may be restricted, and our business, reputation, financial condition, and results of operations may be materially and adversely affected, and the value of our shares could significantly decline or become worthless.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Implication of the Holding Foreign Companies Accountable Act</w:t>
      </w:r>
    </w:p>
    <w:p>
      <w:pPr>
        <w:spacing w:after="0" w:line="176"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The Holding Foreign Companies Accountable Act, or the HFCA Act, was enacted on December 18, 2020 and amended by the Consolidated Appropriations Act, 2023 enacted on December 29, 2022. The amended HFCA Act states if the SEC determines that we have filed audit reports issued by a registered public accounting firm that has not been subject to inspection by the PCAOB for two consecutive years, the SEC shall prohibit our shares from being traded on a national securities exchange or in the over-the-counter trading market in the United States. On December 16, 2021, the PCAOB issued its report notifying the SEC of its determination that it was unable to inspect or investigate completely registered public accounting firms headquartered in mainland China or Hong Kong, or the 2021 Determination, including our former auditor. On May 26, 2022, we were conclusively identified by the SEC as a Commission-Identified Issuer under the HFCA Act. On December 15, 2022, the PCAOB issued a report that vacated its 2021 Determination and removed mainland China and Hong Kong from the list of jurisdictions where it is unable to inspect or investigate completely registered public accounting firms.</w:t>
      </w:r>
    </w:p>
    <w:p>
      <w:pPr>
        <w:spacing w:after="0" w:line="29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the 2021 Determination. As a result, we do not believe we are at risk of having our securities subject to a trading prohibition under the HFCA Act unless a new determination is made by the PCAOB.</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0"/>
          </w:cols>
          <w:pgMar w:left="400" w:top="796" w:right="399" w:bottom="1440" w:gutter="0" w:footer="0" w:header="0"/>
        </w:sectPr>
      </w:pPr>
    </w:p>
    <w:bookmarkStart w:id="12" w:name="page13"/>
    <w:bookmarkEnd w:id="12"/>
    <w:p>
      <w:pPr>
        <w:jc w:val="both"/>
        <w:ind w:firstLine="241"/>
        <w:spacing w:after="0" w:line="26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175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3175635"/>
                    </a:xfrm>
                    <a:prstGeom prst="rect">
                      <a:avLst/>
                    </a:prstGeom>
                    <a:noFill/>
                  </pic:spPr>
                </pic:pic>
              </a:graphicData>
            </a:graphic>
          </wp:anchor>
        </w:drawing>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The delisting of our shares, or the threat of their being delisted, may materially and adversely affect the value of your investment. These risks could result in a material adverse change in our operations and the value of our shares, significantly limit or completely hinder our ability to continue to offer securities to investors, or cause the value of such securities to significantly decline or become worthless. See “Item 3. Key Information—3.D. Risk Factors—Risks Related to Our Ordinary Shares—The PCAOB had historically been unable to inspect our auditors in relation to their audit work performed for our financial statements and the inability of the PCAOB to conduct inspections of our auditors in the past has deprived our investors with the benefits of such inspections.” and “Item 3. Key Information—3.D. Risk Factors—Risks Related to Our Ordinary Shares—Our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in our 2025 Form 20-F.</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 between AIFU Inc, its Subsidiaries and the Former Consolidated VIEs</w:t>
      </w:r>
    </w:p>
    <w:p>
      <w:pPr>
        <w:spacing w:after="0" w:line="176" w:lineRule="exact"/>
        <w:rPr>
          <w:sz w:val="20"/>
          <w:szCs w:val="20"/>
          <w:color w:val="auto"/>
        </w:rPr>
      </w:pPr>
    </w:p>
    <w:p>
      <w:pPr>
        <w:jc w:val="both"/>
        <w:ind w:firstLine="239"/>
        <w:spacing w:after="0" w:line="267" w:lineRule="auto"/>
        <w:rPr>
          <w:sz w:val="20"/>
          <w:szCs w:val="20"/>
          <w:color w:val="auto"/>
        </w:rPr>
      </w:pPr>
      <w:r>
        <w:rPr>
          <w:rFonts w:ascii="Times New Roman" w:cs="Times New Roman" w:eastAsia="Times New Roman" w:hAnsi="Times New Roman"/>
          <w:sz w:val="13"/>
          <w:szCs w:val="13"/>
          <w:color w:val="auto"/>
        </w:rPr>
        <w:t>Under PRC law, we may provide funding to our PRC subsidiaries only through capital contributions or loans, and to the former consolidated VIEs only through loans, subject to the satisfaction of applicable government registration and approval requirements. We rely on dividends and other distributions from our PRC subsidiaries to satisfy part of our liquidity requirement. Under the historical Contractual Arrangements among our WFOEs, namely Fanhua Group Company and Fanlian Investment, the former consolidated VIEs, and the shareholders of the former consolidated VIEs, our WFOEs provided consultation and training services to the former consolidated VIEs, and were entitled to all of the economic benefits of the former consolidated VIEs and its subsidiaries in the form of service fees. The historical Contractual Arrangements provided that the former consolidated VIEs shall pay a quarterly fee calculated primarily based on a percentage of its revenues.</w:t>
      </w:r>
    </w:p>
    <w:p>
      <w:pPr>
        <w:spacing w:after="0" w:line="133" w:lineRule="exact"/>
        <w:rPr>
          <w:sz w:val="20"/>
          <w:szCs w:val="20"/>
          <w:color w:val="auto"/>
        </w:rPr>
      </w:pPr>
    </w:p>
    <w:p>
      <w:pPr>
        <w:jc w:val="both"/>
        <w:ind w:firstLine="239"/>
        <w:spacing w:after="0" w:line="263" w:lineRule="auto"/>
        <w:rPr>
          <w:sz w:val="20"/>
          <w:szCs w:val="20"/>
          <w:color w:val="auto"/>
        </w:rPr>
      </w:pPr>
      <w:r>
        <w:rPr>
          <w:rFonts w:ascii="Times New Roman" w:cs="Times New Roman" w:eastAsia="Times New Roman" w:hAnsi="Times New Roman"/>
          <w:sz w:val="13"/>
          <w:szCs w:val="13"/>
          <w:color w:val="auto"/>
        </w:rPr>
        <w:t>Technology consulting and service agreements were entered into between (i) Fanhua Group Company and (ii) Xinbao Investment and each of its subsidiaries on March 1, 2022 and consulting and service agreements were entered into between (i) Fanlian Investment and (ii) Fanhua RONS Technologies and each of its subsidiaries. No service fees were incurred in 2023, 2024 and 2025. The cash flows occurred between our subsidiaries and the former consolidated VIEs included the following: (1) cash received by the former consolidated VIEs from our subsidiaries as inter-company advances amounted to RMB39.4 million, RMB46.8 million and nil for the years ended December 31, 2023, 2024 and 2025, respectively; and (2) net commissions received by our subsidiaries from the former consolidated VIEs offset by technology services paid by our subsidiaries to the former consolidated VIEs amounted to RMB56.7 million, RMB34.5 million and nil for the years ended December 31, 2023, 2024 and 2025, respectively. Although we had previously declared and paid cash dividends, we have no plan to declare or pay any dividends in the near future on our Class A ordinary shares. We currently intend to retain most, if not all, of our available funds and any future earnings to operate and expand our business. See “—Financial Information Related to the Former Consolidated VIEs” below and “Item 8. Financial Information—8.A. Consolidated Statements and Other Financial Information—Dividend Policy” in our 2025 Form 20-F.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0"/>
          </w:cols>
          <w:pgMar w:left="400" w:top="800"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685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3685540"/>
                    </a:xfrm>
                    <a:prstGeom prst="rect">
                      <a:avLst/>
                    </a:prstGeom>
                    <a:noFill/>
                  </pic:spPr>
                </pic:pic>
              </a:graphicData>
            </a:graphic>
          </wp:anchor>
        </w:drawing>
        <w:t>Restrictions on Foreign Exchange and our Ability to Transfer Cash between Entities, Across Borders and to U.S. Investors</w:t>
      </w:r>
    </w:p>
    <w:p>
      <w:pPr>
        <w:spacing w:after="0" w:line="176" w:lineRule="exact"/>
        <w:rPr>
          <w:sz w:val="20"/>
          <w:szCs w:val="20"/>
          <w:color w:val="auto"/>
        </w:rPr>
      </w:pPr>
    </w:p>
    <w:p>
      <w:pPr>
        <w:jc w:val="both"/>
        <w:ind w:firstLine="241"/>
        <w:spacing w:after="0" w:line="264" w:lineRule="auto"/>
        <w:rPr>
          <w:sz w:val="20"/>
          <w:szCs w:val="20"/>
          <w:color w:val="auto"/>
        </w:rPr>
      </w:pPr>
      <w:r>
        <w:rPr>
          <w:rFonts w:ascii="Times New Roman" w:cs="Times New Roman" w:eastAsia="Times New Roman" w:hAnsi="Times New Roman"/>
          <w:sz w:val="13"/>
          <w:szCs w:val="13"/>
          <w:color w:val="auto"/>
        </w:rPr>
        <w:t>As of the date of this prospectus, we do not have cash management policies and procedures in place that dictate how funds are transferred through our organization. Rather, the funds can be transferred in accordance with the applicable PRC laws and regulations, subject to satisfaction of applicable government registration and approval requirements. To the extent cash or assets are held in mainland China or by a mainland China entity, the funds or assets may not be available to fund operations or for other use outside of mainland China due to the intervention in or imposition of restrictions and limitations on the ability of AIFU Inc. or our subsidiaries by the PRC government to transfer cash or assets. While there are currently no such restrictions or limitations in Hong Kong on cash transfers to, or from, entities in Hong Kong, if certain PRC laws and regulations, including existing laws and regulations and those enacted or promulgated in the future, were to become applicable to our Hong Kong subsidiaries in the future, and to the extent our cash or assets are in Hong Kong or a Hong Kong entity, such funds or assets may not be available due to the interventions in or imposition of restrictions and limitations on our ability to transfer funds or assets by the PRC government.</w:t>
      </w:r>
    </w:p>
    <w:p>
      <w:pPr>
        <w:spacing w:after="0" w:line="134"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3"/>
          <w:szCs w:val="13"/>
          <w:color w:val="auto"/>
        </w:rPr>
        <w:t>AIFU Inc.’s ability to pay dividends, if any, to its shareholders and to service any debt it may incur will depend upon dividends paid by the WFOEs. Under PRC laws and regulations, the WFOEs are subject to certain restrictions with respect to paying dividends or otherwise transferring any of their net assets offshore to AIFU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The WFOEs are required to set aside at least 10% of their respective after-tax profits each year, after making up previous years’ accumulated losses, if any, to fund certain statutory reserve funds, until the aggregate amount of such a fund reaches 50% of their respective registered capital. At its discretion, each of the WFOEs may allocate a portion of its after-tax profits based on PRC GAAP to discretional funds. As a result, the WFOEs may not have sufficient distributable profits to pay dividends to us in the near future. See “Item 3. Key Information—3.D. Risk Factors—Risks Related to Doing Business in China—We rely principally on dividends and other distributions on equity paid by our subsidiaries to fund any cash and financing requirements we may have, and any limitation on the ability of our subsidiaries to make payments to us could have a material adverse effect on our ability to conduct our business.” in our 2025 Form 20-F.</w:t>
      </w:r>
    </w:p>
    <w:p>
      <w:pPr>
        <w:spacing w:after="0" w:line="136" w:lineRule="exact"/>
        <w:rPr>
          <w:sz w:val="20"/>
          <w:szCs w:val="20"/>
          <w:color w:val="auto"/>
        </w:rPr>
      </w:pPr>
    </w:p>
    <w:p>
      <w:pPr>
        <w:jc w:val="both"/>
        <w:ind w:firstLine="241"/>
        <w:spacing w:after="0" w:line="261" w:lineRule="auto"/>
        <w:rPr>
          <w:sz w:val="20"/>
          <w:szCs w:val="20"/>
          <w:color w:val="auto"/>
        </w:rPr>
      </w:pPr>
      <w:r>
        <w:rPr>
          <w:rFonts w:ascii="Times New Roman" w:cs="Times New Roman" w:eastAsia="Times New Roman" w:hAnsi="Times New Roman"/>
          <w:sz w:val="13"/>
          <w:szCs w:val="13"/>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or the SAFE, or its local branches, by complying with certain procedural requirements under PRC foreign exchange regulations, such as the overseas investment registrations by the beneficial owners of our Company who are PRC residents.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AIFU Inc. In addition, the WFOE is required to make appropriations to certain statutory reserve funds, which are not distributable as cash dividends except in the event of a solvent liquidation of the companies. See “Item 3. Key Information—3.D. Risk Factors—Risks Related to Doing Business in China— PRC governmental control of currency conversion may limit our ability to utilize our revenues effectively and affect the value of your investment” in the 2025 Form 20-F.</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PRC and United States federal income tax consideration of an investment in our shares, see “Taxation.”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0"/>
          </w:cols>
          <w:pgMar w:left="400" w:top="796" w:right="399" w:bottom="1440" w:gutter="0" w:footer="0" w:header="0"/>
        </w:sectPr>
      </w:pPr>
    </w:p>
    <w:bookmarkStart w:id="14" w:name="page15"/>
    <w:bookmarkEnd w:id="14"/>
    <w:p>
      <w:pPr>
        <w:ind w:left="7"/>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4074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074795"/>
                    </a:xfrm>
                    <a:prstGeom prst="rect">
                      <a:avLst/>
                    </a:prstGeom>
                    <a:noFill/>
                  </pic:spPr>
                </pic:pic>
              </a:graphicData>
            </a:graphic>
          </wp:anchor>
        </w:drawing>
        <w:t>Financial Information Related to the Former Consolidated VIEs</w:t>
      </w:r>
    </w:p>
    <w:p>
      <w:pPr>
        <w:spacing w:after="0" w:line="176" w:lineRule="exact"/>
        <w:rPr>
          <w:sz w:val="20"/>
          <w:szCs w:val="20"/>
          <w:color w:val="auto"/>
        </w:rPr>
      </w:pPr>
    </w:p>
    <w:p>
      <w:pPr>
        <w:jc w:val="both"/>
        <w:ind w:left="7" w:firstLine="241"/>
        <w:spacing w:after="0" w:line="277" w:lineRule="auto"/>
        <w:rPr>
          <w:sz w:val="20"/>
          <w:szCs w:val="20"/>
          <w:color w:val="auto"/>
        </w:rPr>
      </w:pPr>
      <w:r>
        <w:rPr>
          <w:rFonts w:ascii="Times New Roman" w:cs="Times New Roman" w:eastAsia="Times New Roman" w:hAnsi="Times New Roman"/>
          <w:sz w:val="13"/>
          <w:szCs w:val="13"/>
          <w:color w:val="auto"/>
        </w:rPr>
        <w:t>The following tables set forth the summary of the consolidated statement of income and cash flows in 2023 and 2024 of AIFU Inc., our wholly foreign-owned subsidiaries (“WFOEs”), or Fanhua Group Company and Fanlian Investment, that were the primary beneficiaries of the former consolidated VIEs under accounting principles generally accepted in the United States, or U.S. GAAP, our other subsidiaries and the former consolidated VIEs and their subsidiaries.</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3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Consolidated VIEs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and their</w:t>
            </w: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WFOEs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Other subsidiaries</w:t>
            </w:r>
          </w:p>
        </w:tc>
        <w:tc>
          <w:tcPr>
            <w:tcW w:w="134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22"/>
                <w:szCs w:val="22"/>
                <w:b w:val="1"/>
                <w:bCs w:val="1"/>
                <w:color w:val="auto"/>
                <w:vertAlign w:val="superscript"/>
              </w:rPr>
              <w:t>(1)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Consolidated total</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(RMB in thousands)</w:t>
            </w:r>
          </w:p>
        </w:tc>
        <w:tc>
          <w:tcPr>
            <w:tcW w:w="1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revenues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178,697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1,279,788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(126,707)</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Third-party revenues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123,593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1,208,185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1,331,778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Intra-Group revenues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55,104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71,603</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(126,707)</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(46,159)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(164,218)</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(15,775)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(1,679,451)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126,707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(1,778,896)</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Third-party operating costs and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(46,159)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(92,617)</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(15,773)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(1,624,347)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(1,778,896)</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Intra-Group operating costs and expenses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(71,601)</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(55,104)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126,707</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(46,159)</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14,479</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(15,775)</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(399,663)</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(447,118)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 net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10,566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5,095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23,131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14,062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Gains (Losses) from fair value change of a short term</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(82,588)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(78,499)</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from the disposal of subsidiaries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894,671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Others, net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5,581</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(47,970)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10,784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(27,761)</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Share of income from subsidiaries and the VIEs and</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VIEs’ subsidiaries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487,738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12,327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(500,065)</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Share of income of affiliates, net of impairment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(5,052)</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(91,342)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(91,954)</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 income from continuing operations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454,960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20,870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(15,086)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343,623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(500,065)</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304,302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 net of tax</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5,172</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454,960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20,870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(15,086)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348,795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(500,065)</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309,474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Note:</w:t>
      </w:r>
    </w:p>
    <w:p>
      <w:pPr>
        <w:spacing w:after="0" w:line="172" w:lineRule="exact"/>
        <w:rPr>
          <w:sz w:val="20"/>
          <w:szCs w:val="20"/>
          <w:color w:val="auto"/>
        </w:rPr>
      </w:pPr>
    </w:p>
    <w:p>
      <w:pPr>
        <w:ind w:left="247" w:right="20" w:hanging="247"/>
        <w:spacing w:after="0" w:line="296" w:lineRule="auto"/>
        <w:tabs>
          <w:tab w:leader="none" w:pos="24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mainly represents (i) the intercompany service fee related to agency services for distributing life insurance products and non-life insurance products on behalf of insurance companies provide by consolidated affiliated entities to subsidiaries and (ii) the intercompany service fee related to technology services provided by our consolidated variable interest entities to our subsidiaries.</w:t>
      </w:r>
    </w:p>
    <w:p>
      <w:pPr>
        <w:spacing w:after="0" w:line="3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15240</wp:posOffset>
            </wp:positionV>
            <wp:extent cx="716724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7"/>
          </w:cols>
          <w:pgMar w:left="393" w:top="796" w:right="399" w:bottom="1440" w:gutter="0" w:footer="0" w:header="0"/>
        </w:sectPr>
      </w:pPr>
    </w:p>
    <w:bookmarkStart w:id="15" w:name="page16"/>
    <w:bookmarkEnd w:id="15"/>
    <w:tbl>
      <w:tblPr>
        <w:tblLayout w:type="fixed"/>
        <w:tblInd w:w="7" w:type="dxa"/>
        <w:tblCellMar>
          <w:top w:w="0" w:type="dxa"/>
          <w:left w:w="0" w:type="dxa"/>
          <w:bottom w:w="0" w:type="dxa"/>
          <w:right w:w="0" w:type="dxa"/>
        </w:tblCellMar>
      </w:tblPr>
      <w:tr>
        <w:trPr>
          <w:trHeight w:val="178"/>
        </w:trPr>
        <w:tc>
          <w:tcPr>
            <w:tcW w:w="3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Consolidated VIEs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and their</w:t>
            </w: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WFOEs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Other subsidiaries</w:t>
            </w:r>
          </w:p>
        </w:tc>
        <w:tc>
          <w:tcPr>
            <w:tcW w:w="134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22"/>
                <w:szCs w:val="22"/>
                <w:b w:val="1"/>
                <w:bCs w:val="1"/>
                <w:color w:val="auto"/>
                <w:vertAlign w:val="superscript"/>
              </w:rPr>
              <w:t>(1)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Consolidated total</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net revenues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168,965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2,718,767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(127,284)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2,760,448</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Third-party revenues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122,880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2,637,568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2,760,448</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Intra-Group revenues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46,085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81,199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(127,284)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(24,645)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(182,156)</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(29,953)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(2,472,510)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125,289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(2,583,975)</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Third-party operating costs and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(24,645)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(100,956)</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(29,953)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(2,428,421)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(2,583,975)</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Intra-Group operating costs and expenses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(81,200)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(44,089)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125,289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(24,645)</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(13,191)</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(29,953)</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246,257</w:t>
            </w: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(1,995)</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176,473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 net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15,005</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10,359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21,105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16,786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48,250</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Gains from fair value change of a short term investment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6,650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96,217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102,867</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 net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4,355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6,172</w:t>
            </w: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Share of income from subsidiaries and the VIEs and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VIEs’ subsidiaries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285,595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194,973</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(480,568)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of income (loss) of affiliates, net of impairment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(1,317)</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(57,721)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(59,206)</w:t>
            </w: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income from continuing operations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280,477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(13,085)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198,414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305,001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(482,563)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288,244</w:t>
            </w:r>
          </w:p>
        </w:tc>
        <w:tc>
          <w:tcPr>
            <w:tcW w:w="0" w:type="dxa"/>
            <w:vAlign w:val="bottom"/>
          </w:tcPr>
          <w:p>
            <w:pPr>
              <w:spacing w:after="0"/>
              <w:rPr>
                <w:sz w:val="1"/>
                <w:szCs w:val="1"/>
                <w:color w:val="auto"/>
              </w:rPr>
            </w:pPr>
          </w:p>
        </w:tc>
      </w:tr>
      <w:tr>
        <w:trPr>
          <w:trHeight w:val="181"/>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 net of tax</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855</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855</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280,477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(13,085)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198,414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305,856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(482,563)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289,099</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258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3258185"/>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3"/>
          <w:szCs w:val="13"/>
          <w:color w:val="auto"/>
        </w:rPr>
        <w:t>Note:</w:t>
      </w:r>
    </w:p>
    <w:p>
      <w:pPr>
        <w:spacing w:after="0" w:line="172" w:lineRule="exact"/>
        <w:rPr>
          <w:sz w:val="20"/>
          <w:szCs w:val="20"/>
          <w:color w:val="auto"/>
        </w:rPr>
      </w:pPr>
    </w:p>
    <w:p>
      <w:pPr>
        <w:ind w:left="247" w:hanging="247"/>
        <w:spacing w:after="0" w:line="296" w:lineRule="auto"/>
        <w:tabs>
          <w:tab w:leader="none" w:pos="24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elimination mainly represents (i) the intercompany service fee related to agency services for distributing life insurance products and non-life insurance products on behalf of insurance companies provide by consolidated affiliated entities to subsidiaries and (ii) the intercompany service fee related to technology services provided by our consolidated variable interest entities to our subsidiaries.</w:t>
      </w:r>
    </w:p>
    <w:p>
      <w:pPr>
        <w:spacing w:after="0" w:line="3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15240</wp:posOffset>
            </wp:positionV>
            <wp:extent cx="716724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087"/>
          </w:cols>
          <w:pgMar w:left="393" w:top="806" w:right="41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422"/>
        </w:trPr>
        <w:tc>
          <w:tcPr>
            <w:tcW w:w="100" w:type="dxa"/>
            <w:vAlign w:val="bottom"/>
            <w:tcBorders>
              <w:top w:val="single" w:sz="8" w:color="auto"/>
              <w:left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12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Borders>
              <w:left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jc w:val="center"/>
              <w:ind w:right="53"/>
              <w:spacing w:after="0" w:line="144"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VIEs and their</w:t>
            </w:r>
          </w:p>
        </w:tc>
        <w:tc>
          <w:tcPr>
            <w:tcW w:w="1280" w:type="dxa"/>
            <w:vAlign w:val="bottom"/>
          </w:tcPr>
          <w:p>
            <w:pPr>
              <w:spacing w:after="0"/>
              <w:rPr>
                <w:sz w:val="13"/>
                <w:szCs w:val="13"/>
                <w:color w:val="auto"/>
              </w:rPr>
            </w:pP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3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8"/>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3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WFOEs</w:t>
            </w:r>
          </w:p>
        </w:tc>
        <w:tc>
          <w:tcPr>
            <w:tcW w:w="142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3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(RMB in thousands)</w:t>
            </w:r>
          </w:p>
        </w:tc>
        <w:tc>
          <w:tcPr>
            <w:tcW w:w="1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(22,904)</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(32,908)</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33,079</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165,585</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142,852</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external parties</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(22,904)</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1,618</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33,079</w:t>
            </w: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131,059</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142,852</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internal companies</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(34,526)</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34,526</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(3,937)</w:t>
            </w: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(25,182)</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(650,466)</w:t>
            </w: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(410,622)</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653,617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(436,590)</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cash generated from (used in) transactions with</w:t>
            </w: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external parties</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(15,024)</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(25,182)</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(650,466)</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254,082</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(436,590)</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Net cash generated from (used in) transactions with</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internal companies</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11,087</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(664,704)</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653,617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(5,642)</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46,797</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617,403</w:t>
            </w:r>
          </w:p>
        </w:tc>
        <w:tc>
          <w:tcPr>
            <w:tcW w:w="14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(69,330)</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(653,617)</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(64,389)</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vMerge w:val="restart"/>
          </w:tcPr>
          <w:p>
            <w:pPr>
              <w:jc w:val="right"/>
              <w:ind w:right="173"/>
              <w:spacing w:after="0" w:line="159" w:lineRule="exact"/>
              <w:rPr>
                <w:sz w:val="20"/>
                <w:szCs w:val="20"/>
                <w:color w:val="auto"/>
              </w:rPr>
            </w:pPr>
            <w:r>
              <w:rPr>
                <w:rFonts w:ascii="SimSun" w:cs="SimSun" w:eastAsia="SimSun" w:hAnsi="SimSun"/>
                <w:sz w:val="13"/>
                <w:szCs w:val="13"/>
                <w:color w:val="auto"/>
              </w:rPr>
              <w:t>（</w:t>
            </w:r>
            <w:r>
              <w:rPr>
                <w:rFonts w:ascii="Times New Roman" w:cs="Times New Roman" w:eastAsia="Times New Roman" w:hAnsi="Times New Roman"/>
                <w:sz w:val="13"/>
                <w:szCs w:val="13"/>
                <w:color w:val="auto"/>
              </w:rPr>
              <w:t>58,747)</w:t>
            </w: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external parties</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(5,642)</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vMerge w:val="continue"/>
          </w:tcPr>
          <w:p>
            <w:pPr>
              <w:spacing w:after="0"/>
              <w:rPr>
                <w:sz w:val="15"/>
                <w:szCs w:val="15"/>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(64,389)</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cash generated from (used in) transactions with</w:t>
            </w: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internal companies</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46,797</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617,403</w:t>
            </w:r>
          </w:p>
        </w:tc>
        <w:tc>
          <w:tcPr>
            <w:tcW w:w="14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(10,583)</w:t>
            </w: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(653,617)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0" w:type="dxa"/>
            <w:vAlign w:val="bottom"/>
            <w:tcBorders>
              <w:left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1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Borders>
              <w:left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jc w:val="center"/>
              <w:ind w:right="53"/>
              <w:spacing w:after="0" w:line="144" w:lineRule="exact"/>
              <w:rPr>
                <w:sz w:val="20"/>
                <w:szCs w:val="20"/>
                <w:color w:val="auto"/>
              </w:rPr>
            </w:pPr>
            <w:r>
              <w:rPr>
                <w:rFonts w:ascii="Times New Roman" w:cs="Times New Roman" w:eastAsia="Times New Roman" w:hAnsi="Times New Roman"/>
                <w:sz w:val="13"/>
                <w:szCs w:val="13"/>
                <w:b w:val="1"/>
                <w:bCs w:val="1"/>
                <w:color w:val="auto"/>
              </w:rPr>
              <w:t>Consolidated VIEs</w:t>
            </w: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and their</w:t>
            </w:r>
          </w:p>
        </w:tc>
        <w:tc>
          <w:tcPr>
            <w:tcW w:w="1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Eliminating</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13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WFOEs</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Other subsidiaries</w:t>
            </w:r>
          </w:p>
        </w:tc>
        <w:tc>
          <w:tcPr>
            <w:tcW w:w="12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3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Consolidated total</w:t>
            </w: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(RMB in thousands)</w:t>
            </w:r>
          </w:p>
        </w:tc>
        <w:tc>
          <w:tcPr>
            <w:tcW w:w="1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(36,520)</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(52,983)</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6,620</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184,670</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101,787</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external parties</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(36,520)</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3,754</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6,620</w:t>
            </w: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127,933</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101,787</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internal companies</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(56,737)</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56,737</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20,092</w:t>
            </w: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(20,095)</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384,002</w:t>
            </w: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(177,970)</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(451,849)</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(245,820)</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cash generated from (used in) transactions with</w:t>
            </w: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external parties</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30,097</w:t>
            </w:r>
          </w:p>
        </w:tc>
        <w:tc>
          <w:tcPr>
            <w:tcW w:w="1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(20,095)</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384,002</w:t>
            </w:r>
          </w:p>
        </w:tc>
        <w:tc>
          <w:tcPr>
            <w:tcW w:w="14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(639,824)</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(245,820)</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internal companies</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(10,005)</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461,854</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(451,849)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0" w:type="dxa"/>
            <w:vAlign w:val="bottom"/>
            <w:tcBorders>
              <w:left w:val="single" w:sz="8" w:color="auto"/>
            </w:tcBorders>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(29,044)</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39,359</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(502,207)</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137,731</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451,849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97,688</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Net cash (used in) generated from transactions with</w:t>
            </w: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external parties</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(29,044)</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126,732</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97,688</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tcBorders>
          </w:tcPr>
          <w:p>
            <w:pPr>
              <w:spacing w:after="0"/>
              <w:rPr>
                <w:sz w:val="12"/>
                <w:szCs w:val="12"/>
                <w:color w:val="auto"/>
              </w:rPr>
            </w:pPr>
          </w:p>
        </w:tc>
        <w:tc>
          <w:tcPr>
            <w:tcW w:w="3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cash generated from (used in) transactions with</w:t>
            </w:r>
          </w:p>
        </w:tc>
        <w:tc>
          <w:tcPr>
            <w:tcW w:w="1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internal companies</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39,359</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(502,207)</w:t>
            </w:r>
          </w:p>
        </w:tc>
        <w:tc>
          <w:tcPr>
            <w:tcW w:w="1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10,999</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451,849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0" w:type="dxa"/>
            <w:vAlign w:val="bottom"/>
            <w:tcBorders>
              <w:left w:val="single" w:sz="8" w:color="auto"/>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rPr>
              <w:t>8</w:t>
            </w:r>
          </w:p>
        </w:tc>
        <w:tc>
          <w:tcPr>
            <w:tcW w:w="1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-3978275</wp:posOffset>
            </wp:positionV>
            <wp:extent cx="7046595" cy="203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2038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-3570605</wp:posOffset>
            </wp:positionV>
            <wp:extent cx="7046595" cy="102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6595" cy="1022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-3264535</wp:posOffset>
            </wp:positionV>
            <wp:extent cx="7046595" cy="203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6595" cy="2038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-2958465</wp:posOffset>
            </wp:positionV>
            <wp:extent cx="7046595" cy="203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6595" cy="2038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-1804035</wp:posOffset>
            </wp:positionV>
            <wp:extent cx="7046595" cy="203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6595" cy="2038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-1395730</wp:posOffset>
            </wp:positionV>
            <wp:extent cx="7046595" cy="102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46595" cy="1022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-1089660</wp:posOffset>
            </wp:positionV>
            <wp:extent cx="7046595" cy="203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46595" cy="20383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-783590</wp:posOffset>
            </wp:positionV>
            <wp:extent cx="7046595" cy="203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6595" cy="2038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78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3787775"/>
                    </a:xfrm>
                    <a:prstGeom prst="rect">
                      <a:avLst/>
                    </a:prstGeom>
                    <a:noFill/>
                  </pic:spPr>
                </pic:pic>
              </a:graphicData>
            </a:graphic>
          </wp:anchor>
        </w:drawing>
        <w:t>Summary of Risk Factors</w:t>
      </w:r>
    </w:p>
    <w:p>
      <w:pPr>
        <w:spacing w:after="0" w:line="17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in “Risk Factors” and “Item 3. Key Information — D. Risk Factors” in the 2025 Form 20-F, which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Our Business and Industry</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face risks and uncertainties in realizing our business objectives and executing our strategies, including:</w:t>
      </w:r>
    </w:p>
    <w:p>
      <w:pPr>
        <w:spacing w:after="0" w:line="172" w:lineRule="exact"/>
        <w:rPr>
          <w:sz w:val="20"/>
          <w:szCs w:val="20"/>
          <w:color w:val="auto"/>
        </w:rPr>
      </w:pPr>
    </w:p>
    <w:p>
      <w:pPr>
        <w:ind w:left="480" w:hanging="246"/>
        <w:spacing w:after="0"/>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successful in implementing our refined growth strategy or pursuing new growth opportunities, which could adversely affect our business and financial results.</w:t>
      </w:r>
    </w:p>
    <w:p>
      <w:pPr>
        <w:spacing w:after="0" w:line="17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our contracts with insurance companies are suspended or changed, our business and operating results will be materially and adversely affected.</w:t>
      </w:r>
    </w:p>
    <w:p>
      <w:pPr>
        <w:spacing w:after="0" w:line="17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attract and retain productive agents, especially entrepreneurial agents, our business and operating results could be materially and adversely affected.</w:t>
      </w:r>
    </w:p>
    <w:p>
      <w:pPr>
        <w:spacing w:after="0" w:line="17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our digitalization and technology initiatives could materially and adversely affect our business, financial condition and results of operations.</w:t>
      </w:r>
    </w:p>
    <w:p>
      <w:pPr>
        <w:spacing w:after="0" w:line="171"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our personnel engaging in insurance agency activities are required under relevant PRC regulations to register with the NFRA’s Insurance Intermediaries Regulatory Information System. If our sales personnel fail to finish practice registration, our business may be materially and adversely affected.</w:t>
      </w:r>
    </w:p>
    <w:p>
      <w:pPr>
        <w:spacing w:after="0" w:line="113"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businesses are highly regulated, and the administration, interpretation and enforcement of the laws and regulations currently applicable to us involve uncertainties, which could materially and adversely affect our business and results of operations.</w:t>
      </w:r>
    </w:p>
    <w:p>
      <w:pPr>
        <w:spacing w:after="0" w:line="113"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regulatory environment in China have materially affected, and may continue to materially and adversely affect, our business and results of operations.</w:t>
      </w:r>
    </w:p>
    <w:p>
      <w:pPr>
        <w:spacing w:after="0" w:line="171"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unsuccessful in identifying suitable acquisition candidates, completing acquisitions, integrating acquired companies or the acquired companies may not perform to our expectations, which could adversely affect our growth.</w:t>
      </w:r>
    </w:p>
    <w:p>
      <w:pPr>
        <w:spacing w:after="0" w:line="113"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our industry is intense and, if we are unable to compete effectively with both existing and new market participants, we may lose customers, and our financial results may be negatively affected.</w:t>
      </w:r>
    </w:p>
    <w:p>
      <w:pPr>
        <w:spacing w:after="0" w:line="113"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the commission and fee we earn on the sale of insurance products is based on premiums, commission and fee rates set by insurance companies, any decrease in these premiums, commission or fee rates may have an adverse effect on our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080"/>
          </w:cols>
          <w:pgMar w:left="400" w:top="796"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685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3685540"/>
                    </a:xfrm>
                    <a:prstGeom prst="rect">
                      <a:avLst/>
                    </a:prstGeom>
                    <a:noFill/>
                  </pic:spPr>
                </pic:pic>
              </a:graphicData>
            </a:graphic>
          </wp:anchor>
        </w:drawing>
        <w:t>Risks Related to Our Corporate Structure</w:t>
      </w:r>
    </w:p>
    <w:p>
      <w:pPr>
        <w:spacing w:after="0" w:line="176" w:lineRule="exact"/>
        <w:rPr>
          <w:sz w:val="20"/>
          <w:szCs w:val="20"/>
          <w:color w:val="auto"/>
        </w:rPr>
      </w:pPr>
    </w:p>
    <w:p>
      <w:pPr>
        <w:jc w:val="both"/>
        <w:ind w:left="480" w:hanging="246"/>
        <w:spacing w:after="0" w:line="270" w:lineRule="auto"/>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AIFU Inc. is a Cayman Islands holding company primarily operating in China through its subsidiaries. It historically also operated a small part of its business through Contractual Arrangements with our Former Consolidated VIEs until December 27, 2024. If the PRC government determines that the historical contractual arrangements with the former VIEs structure did not comply with the regulations of mainland China, or if these regulations change or are interpreted differently in the future, our shares may decline in value or become worthless if we are deemed to be unable to assert our contractual control rights over the assets of the former VIEs.</w:t>
      </w:r>
    </w:p>
    <w:p>
      <w:pPr>
        <w:spacing w:after="0" w:line="130"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historical Contractual arrangements we have entered into with our former consolidated VIEs may be subject to scrutiny by the PRC tax authorities. A finding that we owe additional taxes could substantially reduce our consolidated net income and the value of your investment.</w:t>
      </w:r>
    </w:p>
    <w:p>
      <w:pPr>
        <w:spacing w:after="0" w:line="113" w:lineRule="exact"/>
        <w:rPr>
          <w:rFonts w:ascii="Times New Roman" w:cs="Times New Roman" w:eastAsia="Times New Roman" w:hAnsi="Times New Roman"/>
          <w:sz w:val="13"/>
          <w:szCs w:val="13"/>
          <w:color w:val="auto"/>
        </w:rPr>
      </w:pPr>
    </w:p>
    <w:p>
      <w:pPr>
        <w:jc w:val="both"/>
        <w:ind w:left="480" w:hanging="246"/>
        <w:spacing w:after="0" w:line="277" w:lineRule="auto"/>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PRC government has significant authority to exert influence on the China operations of an offshore holding company, such as us. Therefore, investors in our shares and our business face potential uncertainty from the PRC government’s policy. Changes in China’s economic, political or social conditions, or government policies could materially and adversely affect our business, financial condition, and results of operations.</w:t>
      </w:r>
    </w:p>
    <w:p>
      <w:pPr>
        <w:spacing w:after="0" w:line="125" w:lineRule="exact"/>
        <w:rPr>
          <w:rFonts w:ascii="Times New Roman" w:cs="Times New Roman" w:eastAsia="Times New Roman" w:hAnsi="Times New Roman"/>
          <w:sz w:val="13"/>
          <w:szCs w:val="13"/>
          <w:color w:val="auto"/>
        </w:rPr>
      </w:pPr>
    </w:p>
    <w:p>
      <w:pPr>
        <w:jc w:val="both"/>
        <w:ind w:left="480" w:hanging="246"/>
        <w:spacing w:after="0" w:line="277" w:lineRule="auto"/>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extensive and evolving legal development, non-compliance with which, or changes in which, may materially and adversely affect our business and prospects, and may result in a material change in our operations and/or the value of our shares or could significantly limit or completely hinder our ability to offer or continue to offer securities to investors and cause the value of our securities to significantly decline or be worthless.</w:t>
      </w:r>
    </w:p>
    <w:p>
      <w:pPr>
        <w:spacing w:after="0" w:line="125" w:lineRule="exact"/>
        <w:rPr>
          <w:rFonts w:ascii="Times New Roman" w:cs="Times New Roman" w:eastAsia="Times New Roman" w:hAnsi="Times New Roman"/>
          <w:sz w:val="13"/>
          <w:szCs w:val="13"/>
          <w:color w:val="auto"/>
        </w:rPr>
      </w:pPr>
    </w:p>
    <w:p>
      <w:pPr>
        <w:ind w:left="480" w:hanging="246"/>
        <w:spacing w:after="0" w:line="296" w:lineRule="auto"/>
        <w:tabs>
          <w:tab w:leader="none" w:pos="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unclear whether we will be subject to the oversight of the Cyberspace Administration of China and how such oversight may impact us. Our business could be interrupted or we could be subject to liabilities which may materially and adversely affect the results of our operation and the value of your investment.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Doing Business in China</w:t>
      </w:r>
    </w:p>
    <w:p>
      <w:pPr>
        <w:spacing w:after="0" w:line="176" w:lineRule="exact"/>
        <w:rPr>
          <w:sz w:val="20"/>
          <w:szCs w:val="20"/>
          <w:color w:val="auto"/>
        </w:rPr>
      </w:pPr>
    </w:p>
    <w:p>
      <w:pPr>
        <w:jc w:val="both"/>
        <w:ind w:left="480" w:hanging="246"/>
        <w:spacing w:after="0" w:line="269" w:lineRule="auto"/>
        <w:tabs>
          <w:tab w:leader="none" w:pos="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of and filing with the CSRC or other PRC government authorities may be required in connection with our future offshore offerings, capital raising activities and acquisitions or other trading arrangements of domestic enterprises conducted by China-based issuers. We must file with the CSRC within three business days after the issuance, and also may be required to go through cybersecurity review under the new laws and the draft laws and regulations of mainland China if authorities identifying us as a critical information infrastructure operator or requiring us to going through review by the CAC, which remains unclear. And, if required, we cannot predict whether or for how long we will be able to obtain such approval or complete such filing or other regulatory procedures.</w:t>
      </w:r>
    </w:p>
    <w:p>
      <w:pPr>
        <w:spacing w:after="0" w:line="293" w:lineRule="exact"/>
        <w:rPr>
          <w:rFonts w:ascii="Times New Roman" w:cs="Times New Roman" w:eastAsia="Times New Roman" w:hAnsi="Times New Roman"/>
          <w:sz w:val="13"/>
          <w:szCs w:val="13"/>
          <w:color w:val="auto"/>
        </w:rPr>
      </w:pPr>
    </w:p>
    <w:p>
      <w:pPr>
        <w:jc w:val="both"/>
        <w:ind w:left="480" w:hanging="246"/>
        <w:spacing w:after="0" w:line="270" w:lineRule="auto"/>
        <w:tabs>
          <w:tab w:leader="none" w:pos="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Uncertainties in the PRC legal system and the interpretation and enforcement of PRC laws and regulations could limit the legal protections available to you and us, significantly limit or completely hinder our ability to offer or continue to offer our shares, cause significant disruption to our business operations, and severely damage our reputation, which would materially and adversely affect our financial condition and results of operations and cause our shares to significantly decline in value or become worthless. In addition, rules and regulations in China can change quickly with little advance notice, therefore, our assertions and beliefs of the risks imposed by the Chinese legal and regulatory system cannot be certain.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080"/>
          </w:cols>
          <w:pgMar w:left="400" w:top="796" w:right="419" w:bottom="1440" w:gutter="0" w:footer="0" w:header="0"/>
        </w:sectPr>
      </w:pPr>
    </w:p>
    <w:bookmarkStart w:id="19" w:name="page20"/>
    <w:bookmarkEnd w:id="19"/>
    <w:p>
      <w:pPr>
        <w:ind w:left="480" w:hanging="246"/>
        <w:spacing w:after="0"/>
        <w:tabs>
          <w:tab w:leader="none" w:pos="4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190500</wp:posOffset>
            </wp:positionH>
            <wp:positionV relativeFrom="page">
              <wp:posOffset>356870</wp:posOffset>
            </wp:positionV>
            <wp:extent cx="7167245" cy="3583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3583940"/>
                    </a:xfrm>
                    <a:prstGeom prst="rect">
                      <a:avLst/>
                    </a:prstGeom>
                    <a:noFill/>
                  </pic:spPr>
                </pic:pic>
              </a:graphicData>
            </a:graphic>
          </wp:anchor>
        </w:drawing>
        <w:t>A downturn in the Chinese or global economy could have a material adverse effect on our business.</w:t>
      </w:r>
    </w:p>
    <w:p>
      <w:pPr>
        <w:spacing w:after="0" w:line="17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control of currency conversion may affect the value of your investment.</w:t>
      </w:r>
    </w:p>
    <w:p>
      <w:pPr>
        <w:spacing w:after="0" w:line="17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PRC Enterprise Income Tax Law may increase the enterprise income tax rate applicable to some of our PRC subsidiaries, which could have a material adverse effect on our result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Our Ordinary Shares</w:t>
      </w:r>
    </w:p>
    <w:p>
      <w:pPr>
        <w:spacing w:after="0" w:line="176" w:lineRule="exact"/>
        <w:rPr>
          <w:sz w:val="20"/>
          <w:szCs w:val="20"/>
          <w:color w:val="auto"/>
        </w:rPr>
      </w:pPr>
    </w:p>
    <w:p>
      <w:pPr>
        <w:ind w:left="480" w:hanging="246"/>
        <w:spacing w:after="0"/>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comply with the applicable continued listing requirements of Nasdaq.</w:t>
      </w:r>
    </w:p>
    <w:p>
      <w:pPr>
        <w:spacing w:after="0" w:line="171" w:lineRule="exact"/>
        <w:rPr>
          <w:rFonts w:ascii="Times New Roman" w:cs="Times New Roman" w:eastAsia="Times New Roman" w:hAnsi="Times New Roman"/>
          <w:sz w:val="13"/>
          <w:szCs w:val="13"/>
          <w:color w:val="auto"/>
        </w:rPr>
      </w:pPr>
    </w:p>
    <w:p>
      <w:pPr>
        <w:ind w:left="480" w:right="20" w:hanging="246"/>
        <w:spacing w:after="0" w:line="296" w:lineRule="auto"/>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PCAOB had historically been unable to inspect our auditors in relation to their audit work performed for our financial statements and the inability of the PCAOB to conduct inspections of our auditors in the past has deprived our investors with the benefits of such inspections.</w:t>
      </w:r>
    </w:p>
    <w:p>
      <w:pPr>
        <w:spacing w:after="0" w:line="113" w:lineRule="exact"/>
        <w:rPr>
          <w:rFonts w:ascii="Times New Roman" w:cs="Times New Roman" w:eastAsia="Times New Roman" w:hAnsi="Times New Roman"/>
          <w:sz w:val="13"/>
          <w:szCs w:val="13"/>
          <w:color w:val="auto"/>
        </w:rPr>
      </w:pPr>
    </w:p>
    <w:p>
      <w:pPr>
        <w:ind w:left="480" w:right="20" w:hanging="246"/>
        <w:spacing w:after="0" w:line="296" w:lineRule="auto"/>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w:t>
      </w:r>
    </w:p>
    <w:p>
      <w:pPr>
        <w:spacing w:after="0" w:line="113"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our Class A ordinary shares may be volatile.</w:t>
      </w:r>
    </w:p>
    <w:p>
      <w:pPr>
        <w:spacing w:after="0" w:line="171" w:lineRule="exact"/>
        <w:rPr>
          <w:rFonts w:ascii="Times New Roman" w:cs="Times New Roman" w:eastAsia="Times New Roman" w:hAnsi="Times New Roman"/>
          <w:sz w:val="13"/>
          <w:szCs w:val="13"/>
          <w:color w:val="auto"/>
        </w:rPr>
      </w:pPr>
    </w:p>
    <w:p>
      <w:pPr>
        <w:jc w:val="both"/>
        <w:ind w:left="480" w:right="20" w:hanging="246"/>
        <w:spacing w:after="0" w:line="277" w:lineRule="auto"/>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our dual-class share structure with different voting rights, holders of Class B ordinary shares have complete control of the outcome of matters put to a vote of shareholders, which may limit ability of holders of our Class A ordinary shares to influence corporate matters and could discourage others from pursuing any change of control transactions that holders of our Class A ordinary shares may view as beneficial.</w:t>
      </w:r>
    </w:p>
    <w:p>
      <w:pPr>
        <w:spacing w:after="0" w:line="125"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Substantial future sales or perceived potential sales of our ordinary shares or other equity securities in the public market could cause the price of our shares to decline.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176" w:lineRule="exact"/>
        <w:rPr>
          <w:sz w:val="20"/>
          <w:szCs w:val="20"/>
          <w:color w:val="auto"/>
        </w:rPr>
      </w:pPr>
    </w:p>
    <w:p>
      <w:pPr>
        <w:jc w:val="both"/>
        <w:ind w:firstLine="239"/>
        <w:spacing w:after="0" w:line="277" w:lineRule="auto"/>
        <w:rPr>
          <w:sz w:val="20"/>
          <w:szCs w:val="20"/>
          <w:color w:val="auto"/>
        </w:rPr>
      </w:pPr>
      <w:r>
        <w:rPr>
          <w:rFonts w:ascii="Times New Roman" w:cs="Times New Roman" w:eastAsia="Times New Roman" w:hAnsi="Times New Roman"/>
          <w:sz w:val="13"/>
          <w:szCs w:val="13"/>
          <w:color w:val="auto"/>
        </w:rPr>
        <w:t>Our principal executive offices are located at Room 1, Building 10, Jinzhong Guobin Hui Qinyuan 2nd Road, Lihu Community, Xili Street, Shenzhen, 518055, People’s Republic of China. Our telephone number at this address is +86-755-2267-1879. Our registered office is at the offices of Maples Corporate Services Limited, PO Box 309, Ugland House, Grand Cayman, KY1-1104, Cayman Islands. Our agent for service of process in the United States is Cogency Global Inc., located at 122 East 42nd Street, 18th Floor, New York, N.Y. 10168, United States.</w:t>
      </w:r>
    </w:p>
    <w:p>
      <w:pPr>
        <w:spacing w:after="0" w:line="125" w:lineRule="exact"/>
        <w:rPr>
          <w:sz w:val="20"/>
          <w:szCs w:val="20"/>
          <w:color w:val="auto"/>
        </w:rPr>
      </w:pPr>
    </w:p>
    <w:p>
      <w:pPr>
        <w:jc w:val="both"/>
        <w:ind w:firstLine="239"/>
        <w:spacing w:after="0" w:line="296" w:lineRule="auto"/>
        <w:rPr>
          <w:sz w:val="20"/>
          <w:szCs w:val="20"/>
          <w:color w:val="auto"/>
        </w:rPr>
      </w:pPr>
      <w:r>
        <w:rPr>
          <w:rFonts w:ascii="Times New Roman" w:cs="Times New Roman" w:eastAsia="Times New Roman" w:hAnsi="Times New Roman"/>
          <w:sz w:val="13"/>
          <w:szCs w:val="13"/>
          <w:color w:val="auto"/>
        </w:rPr>
        <w:t>The SEC maintains an internet site that contains reports, proxy and information statements, and other information regarding issuers that file electronically with the SEC at www.sec.gov. You can also find information on our website at http://ir.aifugroup.com. The information contained on our website is not a part of this prospectus.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16724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100"/>
          </w:cols>
          <w:pgMar w:left="400" w:top="800" w:right="3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6"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which is incorporated by reference in this prospectus, and which may be amended, supplemented or superseded from time to time by other reports we file with the SEC in the future.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1" w:name="page22"/>
    <w:bookmarkEnd w:id="21"/>
    <w:p>
      <w:pPr>
        <w:ind w:left="478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intend to use the net proceeds from the sale of the securities we offer as set forth in the applicable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receive any proceeds from the sale or other distribution of our securities by the selling shareholders.</w:t>
      </w:r>
    </w:p>
    <w:p>
      <w:pPr>
        <w:spacing w:after="0" w:line="33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15240</wp:posOffset>
            </wp:positionV>
            <wp:extent cx="716724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9919"/>
          </w:cols>
          <w:pgMar w:left="540" w:top="705"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SHARE CAPITAL</w:t>
      </w:r>
    </w:p>
    <w:p>
      <w:pPr>
        <w:spacing w:after="0" w:line="176" w:lineRule="exact"/>
        <w:rPr>
          <w:sz w:val="20"/>
          <w:szCs w:val="20"/>
          <w:color w:val="auto"/>
        </w:rPr>
      </w:pPr>
    </w:p>
    <w:p>
      <w:pPr>
        <w:jc w:val="both"/>
        <w:ind w:firstLine="239"/>
        <w:spacing w:after="0" w:line="277" w:lineRule="auto"/>
        <w:rPr>
          <w:sz w:val="20"/>
          <w:szCs w:val="20"/>
          <w:color w:val="auto"/>
        </w:rPr>
      </w:pPr>
      <w:r>
        <w:rPr>
          <w:rFonts w:ascii="Times New Roman" w:cs="Times New Roman" w:eastAsia="Times New Roman" w:hAnsi="Times New Roman"/>
          <w:sz w:val="13"/>
          <w:szCs w:val="13"/>
          <w:color w:val="auto"/>
        </w:rPr>
        <w:t>The following is a summary of our share capital and certain provisions of our currently effective memorandum and articles of association. This summary does not purport to be complete and is qualified in its entirety by the provisions of our currently effective memorandum and articles of association and applicable provisions of the laws of the Cayman Islands. All capitalized terms used in this section are as defined in our currently effective memorandum and articles of association, unless elsewhere defined herein.</w:t>
      </w:r>
    </w:p>
    <w:p>
      <w:pPr>
        <w:spacing w:after="0" w:line="125" w:lineRule="exact"/>
        <w:rPr>
          <w:sz w:val="20"/>
          <w:szCs w:val="20"/>
          <w:color w:val="auto"/>
        </w:rPr>
      </w:pPr>
    </w:p>
    <w:p>
      <w:pPr>
        <w:jc w:val="both"/>
        <w:ind w:firstLine="239"/>
        <w:spacing w:after="0" w:line="296" w:lineRule="auto"/>
        <w:rPr>
          <w:sz w:val="20"/>
          <w:szCs w:val="20"/>
          <w:color w:val="auto"/>
        </w:rPr>
      </w:pPr>
      <w:r>
        <w:rPr>
          <w:rFonts w:ascii="Times New Roman" w:cs="Times New Roman" w:eastAsia="Times New Roman" w:hAnsi="Times New Roman"/>
          <w:sz w:val="13"/>
          <w:szCs w:val="13"/>
          <w:color w:val="auto"/>
        </w:rPr>
        <w:t>We are an exempted company incorporated under the laws of the Cayman Islands with limited liability and our affairs are governed by our memorandum and articles of association, as amended and restated from time to time, and the Companies Act (As Revised) of the Cayman Islands, which we refer to as the “Companies Act” below, and the common law of the Cayman Islands.</w:t>
      </w:r>
    </w:p>
    <w:p>
      <w:pPr>
        <w:spacing w:after="0" w:line="113"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As of the date of this prospectus, as a result of the Second Share Consolidation, our authorized share capital is US$20,000,000 divided into 10,000,000,000 ordinary shares, comprising of (i) 8,000,000,000 Class A ordinary shares of a nominal or par value of US$0.002 each and (ii) 2,000,000,000 Class B ordinary shares of a nominal or par value of US$0.002 each.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Memorandum and Articles of Association</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following are summaries of material provisions of our amended and restated memorandum and articles of association adopted by a special resolution passed on April 29, 2025 and the Companies Act, insofar as they relate to the material terms of our ordinary shares.</w:t>
      </w:r>
    </w:p>
    <w:p>
      <w:pPr>
        <w:spacing w:after="0" w:line="111" w:lineRule="exact"/>
        <w:rPr>
          <w:sz w:val="20"/>
          <w:szCs w:val="20"/>
          <w:color w:val="auto"/>
        </w:rPr>
      </w:pPr>
    </w:p>
    <w:p>
      <w:pPr>
        <w:jc w:val="both"/>
        <w:ind w:firstLine="241"/>
        <w:spacing w:after="0" w:line="299" w:lineRule="auto"/>
        <w:rPr>
          <w:sz w:val="20"/>
          <w:szCs w:val="20"/>
          <w:color w:val="auto"/>
        </w:rPr>
      </w:pPr>
      <w:r>
        <w:rPr>
          <w:rFonts w:ascii="Times New Roman" w:cs="Times New Roman" w:eastAsia="Times New Roman" w:hAnsi="Times New Roman"/>
          <w:sz w:val="13"/>
          <w:szCs w:val="13"/>
          <w:i w:val="1"/>
          <w:iCs w:val="1"/>
          <w:color w:val="auto"/>
        </w:rPr>
        <w:t>Objects of Our Company</w:t>
      </w:r>
      <w:r>
        <w:rPr>
          <w:rFonts w:ascii="Times New Roman" w:cs="Times New Roman" w:eastAsia="Times New Roman" w:hAnsi="Times New Roman"/>
          <w:sz w:val="13"/>
          <w:szCs w:val="13"/>
          <w:color w:val="auto"/>
        </w:rPr>
        <w:t>. The objects for which our company is established are unrestricted and we have full power and authority to carry out any object not prohibited by the Companies Act or as the same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may be revised from time to time, or any other law of the Cayman Islands.</w:t>
      </w:r>
    </w:p>
    <w:p>
      <w:pPr>
        <w:spacing w:after="0" w:line="110"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Ordinary Shares</w:t>
      </w:r>
      <w:r>
        <w:rPr>
          <w:rFonts w:ascii="Times New Roman" w:cs="Times New Roman" w:eastAsia="Times New Roman" w:hAnsi="Times New Roman"/>
          <w:sz w:val="13"/>
          <w:szCs w:val="13"/>
          <w:color w:val="auto"/>
        </w:rPr>
        <w:t>. Our authorized share capital is US$20,000,000 divided into 10,000,000,000 ordinary shares, comprising of (i) 8,000,000,000 Class A ordinary shares of a nominal or par value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US$0.002 each and (ii) 2,000,000,000 Class B ordinary shares of a nominal or par value of US$0.002 each. All of our issued and outstanding ordinary shares are fully paid and non-assessable. Certificates representing the ordinary shares are issued in registered form. Our shareholders who are nonresidents of the Cayman Islands may freely hold and vote their shares.</w:t>
      </w:r>
    </w:p>
    <w:p>
      <w:pPr>
        <w:spacing w:after="0" w:line="123"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Dividend Rights</w:t>
      </w:r>
      <w:r>
        <w:rPr>
          <w:rFonts w:ascii="Times New Roman" w:cs="Times New Roman" w:eastAsia="Times New Roman" w:hAnsi="Times New Roman"/>
          <w:sz w:val="13"/>
          <w:szCs w:val="13"/>
          <w:color w:val="auto"/>
        </w:rPr>
        <w:t>. The holders of our Class A ordinary shares are entitled to such dividends as may be declared by our board of directors subject to the Companies Act. In addition, our shareholders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declare dividends by ordinary resolution, but no dividend shall exceed the amount recommended by our directors. Each Class B ordinary shares confers upon the holder no right to any share in any dividend or distribution paid by the Company.</w:t>
      </w:r>
    </w:p>
    <w:p>
      <w:pPr>
        <w:spacing w:after="0" w:line="123"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i w:val="1"/>
          <w:iCs w:val="1"/>
          <w:color w:val="auto"/>
        </w:rPr>
        <w:t>Voting Rights</w:t>
      </w:r>
      <w:r>
        <w:rPr>
          <w:rFonts w:ascii="Times New Roman" w:cs="Times New Roman" w:eastAsia="Times New Roman" w:hAnsi="Times New Roman"/>
          <w:sz w:val="13"/>
          <w:szCs w:val="13"/>
          <w:color w:val="auto"/>
        </w:rPr>
        <w:t>. Holders of Class A ordinary shares and Class B ordinary shares shall at all times vote together as one class on all resolutions submitted to a vote by the Members. On a show of hands, each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shareholder present in person or by proxy (or, for a corporation or other non-natural person, present by its duly authorized representative or proxy) at a general meeting shall have one vote and on a poll, shall have one vote for each Class A ordinary share registered in his name in the register of members of our company and one hundred (100) votes for each Class B ordinary share registered in his or her name in the Register, on any and all matters subject to a vote at such meeting. Voting at any meeting of shareholders is by show of hands unless a poll is (before or on the declaration of the result of the show of hands) demanded. A poll may be demanded by the chairman of the meeting or by any one or more shareholders together holding not less than ten percent of our paid-up voting share capital, present in person or by proxy.</w:t>
      </w:r>
    </w:p>
    <w:p>
      <w:pPr>
        <w:spacing w:after="0" w:line="295"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A quorum required for a meeting of shareholders consists of shareholders holding in aggregate not less than one-third of all our issued voting share capital present in person or by proxy or, if a corporation or other non-natural person, by its duly authorized representative. We may, but are not obliged, to hold an annual general meeting of shareholders. General meetings may be convened by our board of directors on its own initiative or upon a request to the directors by shareholders holding in aggregate not less than one-third of our voting share capital as at the date of deposit of the requisition. Advance notice of at least 14 calendar days is required for the convening of our annual general meeting and other shareholders’ meetings.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3" w:name="page24"/>
    <w:bookmarkEnd w:id="23"/>
    <w:p>
      <w:pPr>
        <w:jc w:val="both"/>
        <w:ind w:firstLine="241"/>
        <w:spacing w:after="0" w:line="269" w:lineRule="auto"/>
        <w:rPr>
          <w:sz w:val="20"/>
          <w:szCs w:val="20"/>
          <w:color w:val="auto"/>
        </w:rPr>
      </w:pPr>
      <w:r>
        <w:rPr>
          <w:rFonts w:ascii="Times New Roman" w:cs="Times New Roman" w:eastAsia="Times New Roman" w:hAnsi="Times New Roman"/>
          <w:sz w:val="13"/>
          <w:szCs w:val="13"/>
          <w:color w:val="auto"/>
        </w:rPr>
        <w:t>An ordinary resolution to be passed by the shareholders requires the affirmative vote of a simple majority of the votes attaching to the ordinary shares cast in a general meeting or may be approved in writing by all of the shareholders entitled to vote at a general meeting, while a special resolution requires the affirmative vote of no less than two-thirds of the votes attaching to the ordinary shares cast in a general meeting or may be passed as a unanimous written resolution. A special resolution is required for important matters such as a change of name. Holders of the ordinary shares may effect certain changes by ordinary resolution, including consolidating and dividing all or any of our share capital into shares of a larger amount than our existing shares, and canceling any shares which have not been taken or agreed to be taken.</w:t>
      </w:r>
    </w:p>
    <w:p>
      <w:pPr>
        <w:spacing w:after="0" w:line="292"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Transfer of Shares</w:t>
      </w:r>
      <w:r>
        <w:rPr>
          <w:rFonts w:ascii="Times New Roman" w:cs="Times New Roman" w:eastAsia="Times New Roman" w:hAnsi="Times New Roman"/>
          <w:sz w:val="13"/>
          <w:szCs w:val="13"/>
          <w:color w:val="auto"/>
        </w:rPr>
        <w:t>. Subject to the restrictions of our articles of association, as applicable, any of our Class A ordinary shareholders may transfer all or any of his or her Class A ordinary shares by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instrument of transfer in the usual or common form or any other form approved by our board. No Class B ordinary share may be sold, transferred, assigned, pledged, or otherwise disposed of, or used as collateral for loans or any obligations.</w:t>
      </w:r>
    </w:p>
    <w:p>
      <w:pPr>
        <w:spacing w:after="0" w:line="123"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Conversion. </w:t>
      </w:r>
      <w:r>
        <w:rPr>
          <w:rFonts w:ascii="Times New Roman" w:cs="Times New Roman" w:eastAsia="Times New Roman" w:hAnsi="Times New Roman"/>
          <w:sz w:val="13"/>
          <w:szCs w:val="13"/>
          <w:color w:val="auto"/>
        </w:rPr>
        <w:t>Each Class B ordinary share is convertible into one Class A ordinary share, at the option of the holder, subject to approval by no less than two-thirds of the board of directors or by written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resolutions of all the directors. In no event shall Class A ordinary shares be convertible into Class B ordinary shares under any circumstances. Class B ordinary shares shall be automatically and immediately converted into an equal number of Class A ordinary shares under the following circumstances: (i) if the holder is an employee, upon the termination of their employment (howsoever arising) with the Company;</w:t>
      </w:r>
    </w:p>
    <w:p>
      <w:pPr>
        <w:spacing w:after="0" w:line="1" w:lineRule="exact"/>
        <w:rPr>
          <w:sz w:val="20"/>
          <w:szCs w:val="20"/>
          <w:color w:val="auto"/>
        </w:rPr>
      </w:pPr>
    </w:p>
    <w:p>
      <w:pPr>
        <w:spacing w:after="0" w:line="275" w:lineRule="auto"/>
        <w:tabs>
          <w:tab w:leader="none" w:pos="20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holder is a Director, upon their resignation or removal from the board of directors; and (iii) if the holder is a wholly-owned company (“Owned Company”) of a director, senior Management, or an existing shareholder, upon the individual ceasing to wholly own the Owned Company.</w:t>
      </w:r>
    </w:p>
    <w:p>
      <w:pPr>
        <w:spacing w:after="0" w:line="125"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Liquidation. </w:t>
      </w:r>
      <w:r>
        <w:rPr>
          <w:rFonts w:ascii="Times New Roman" w:cs="Times New Roman" w:eastAsia="Times New Roman" w:hAnsi="Times New Roman"/>
          <w:sz w:val="13"/>
          <w:szCs w:val="13"/>
          <w:color w:val="auto"/>
        </w:rPr>
        <w:t>On a return of capital on winding up or otherwise (other than on conversion, redemption or purchase of shares), assets available for distribution among the holders of Class A ordinary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may be distributed among the holders of the Class A ordinary shares as determined by the liquidator, subject to sanction of an ordinary resolution of our company. Each Class B ordinary share confers upon the holder no right to any share in the distribution of the surplus assets of the Company upon liquidation or otherwise,</w:t>
      </w:r>
    </w:p>
    <w:p>
      <w:pPr>
        <w:spacing w:after="0" w:line="123" w:lineRule="exact"/>
        <w:rPr>
          <w:sz w:val="20"/>
          <w:szCs w:val="20"/>
          <w:color w:val="auto"/>
        </w:rPr>
      </w:pPr>
    </w:p>
    <w:p>
      <w:pPr>
        <w:jc w:val="both"/>
        <w:ind w:firstLine="241"/>
        <w:spacing w:after="0" w:line="299" w:lineRule="auto"/>
        <w:rPr>
          <w:sz w:val="20"/>
          <w:szCs w:val="20"/>
          <w:color w:val="auto"/>
        </w:rPr>
      </w:pPr>
      <w:r>
        <w:rPr>
          <w:rFonts w:ascii="Times New Roman" w:cs="Times New Roman" w:eastAsia="Times New Roman" w:hAnsi="Times New Roman"/>
          <w:sz w:val="13"/>
          <w:szCs w:val="13"/>
          <w:i w:val="1"/>
          <w:iCs w:val="1"/>
          <w:color w:val="auto"/>
        </w:rPr>
        <w:t>Calls on Shares and Forfeiture of Shares</w:t>
      </w:r>
      <w:r>
        <w:rPr>
          <w:rFonts w:ascii="Times New Roman" w:cs="Times New Roman" w:eastAsia="Times New Roman" w:hAnsi="Times New Roman"/>
          <w:sz w:val="13"/>
          <w:szCs w:val="13"/>
          <w:color w:val="auto"/>
        </w:rPr>
        <w:t>. Our board of directors may from time to time make calls upon shareholders for any amounts unpaid on their shares in a notice served to such shareholders at least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14 days prior to the specified time of payment. The shares that have been called upon and remain unpaid on the specified time are subject to forfeiture.</w:t>
      </w:r>
    </w:p>
    <w:p>
      <w:pPr>
        <w:spacing w:after="0" w:line="110"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3"/>
          <w:szCs w:val="13"/>
          <w:i w:val="1"/>
          <w:iCs w:val="1"/>
          <w:color w:val="auto"/>
        </w:rPr>
        <w:t>Redemption, Repurchase and Surrender of Shares</w:t>
      </w:r>
      <w:r>
        <w:rPr>
          <w:rFonts w:ascii="Times New Roman" w:cs="Times New Roman" w:eastAsia="Times New Roman" w:hAnsi="Times New Roman"/>
          <w:sz w:val="13"/>
          <w:szCs w:val="13"/>
          <w:color w:val="auto"/>
        </w:rPr>
        <w:t>. Subject to the provisions of the Companies Act and our articles of association, we may issue shares on terms that they are subject to redemption, at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option or at the option of the holders, on such terms and in such manner as our board of directors may determine before the issue of such shares. We also may purchase our own shares (including any redeemable shares) in such manner and on such other terms as determined by the board of directors in their sole discretion and agreed with the relevant shareholder, in accordance with our articles of association. The manner of purchase specified in our articles of association, which cover purchases of shares listed on an internationally recognized stock exchange and shares not so listed, is in accordance with Section 37(2) of the Companies Act or any modification or reenactment thereof for the time being in force. In addition, our company may accept the surrender of any fully paid share for no consideration. Pursuant to the Companies Act, upon the repurchase, redemption or surrender of shares, the board of directors can determine whether or not to cancel those shares or hold them as treasury shares pending cancellation, transfer or sale. The company must obtain authorization to hold such shares as treasury shares either in accordance with the procedures set out in the company’s articles of association or (if there are none) by a board resolution before being repurchased, redeemed or surrendered in accordance with the usual rules and articles. The Company may, at its option, redeem all or any of the Class B ordinary shares held by any person at any time, at such price, and in such manner as may be determined by the board of directors, in accordance with our articles of association.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4" w:name="page25"/>
    <w:bookmarkEnd w:id="24"/>
    <w:p>
      <w:pPr>
        <w:jc w:val="both"/>
        <w:ind w:firstLine="241"/>
        <w:spacing w:after="0" w:line="271" w:lineRule="auto"/>
        <w:rPr>
          <w:sz w:val="20"/>
          <w:szCs w:val="20"/>
          <w:color w:val="auto"/>
        </w:rPr>
      </w:pPr>
      <w:r>
        <w:rPr>
          <w:rFonts w:ascii="Times New Roman" w:cs="Times New Roman" w:eastAsia="Times New Roman" w:hAnsi="Times New Roman"/>
          <w:sz w:val="13"/>
          <w:szCs w:val="13"/>
          <w:i w:val="1"/>
          <w:iCs w:val="1"/>
          <w:color w:val="auto"/>
        </w:rPr>
        <w:t>Variations of Rights of Shares</w:t>
      </w:r>
      <w:r>
        <w:rPr>
          <w:rFonts w:ascii="Times New Roman" w:cs="Times New Roman" w:eastAsia="Times New Roman" w:hAnsi="Times New Roman"/>
          <w:sz w:val="13"/>
          <w:szCs w:val="13"/>
          <w:color w:val="auto"/>
        </w:rPr>
        <w:t>. If at any time the share capital is divided into different classes of shares, the rights attached to any class of shares (unless otherwise provided by the terms of issue of the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that class) may, subject to our articles of association, be varied or abrogated with the written consent of the holders of a majority of the issued shares of that class or with the sanction of a special resolution passed at a general meeting of the holders of the shares of that class. The rights conferred upon the holders of the shares of any class shall not, unless otherwise expressly provided by the terms of issue of the shares of that class, be deemed to be varied by the creation or issue of further shares ranking in priority to or pari passu therewith.</w:t>
      </w:r>
    </w:p>
    <w:p>
      <w:pPr>
        <w:spacing w:after="0" w:line="128"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Inspection of Books and Records</w:t>
      </w:r>
      <w:r>
        <w:rPr>
          <w:rFonts w:ascii="Times New Roman" w:cs="Times New Roman" w:eastAsia="Times New Roman" w:hAnsi="Times New Roman"/>
          <w:sz w:val="13"/>
          <w:szCs w:val="13"/>
          <w:color w:val="auto"/>
        </w:rPr>
        <w:t>. Holders of our ordinary shares have no general right under Cayman Islands law to inspect or obtain copies of our register of members or our corporate records (other than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memorandum and articles of association, special resolutions, and our register of mortgages and charges). However, we make our annual reports, which contain our audited financial statements, available to our shareholders. See “Item 10. Additional Information—10.H. Documents on Display” in the 2025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Differences in Corporate Law</w:t>
      </w:r>
    </w:p>
    <w:p>
      <w:pPr>
        <w:spacing w:after="0" w:line="17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23"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Mergers and Similar Arrangements. </w:t>
      </w:r>
      <w:r>
        <w:rPr>
          <w:rFonts w:ascii="Times New Roman" w:cs="Times New Roman" w:eastAsia="Times New Roman" w:hAnsi="Times New Roman"/>
          <w:sz w:val="13"/>
          <w:szCs w:val="13"/>
          <w:color w:val="auto"/>
        </w:rPr>
        <w:t>The Companies Act permits mergers and consolidations between Cayman Islands companies and between Cayman Islands companies and non-Cayman Islands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w:t>
      </w:r>
    </w:p>
    <w:p>
      <w:pPr>
        <w:spacing w:after="0" w:line="2" w:lineRule="exact"/>
        <w:rPr>
          <w:sz w:val="20"/>
          <w:szCs w:val="20"/>
          <w:color w:val="auto"/>
        </w:rPr>
      </w:pPr>
    </w:p>
    <w:p>
      <w:pPr>
        <w:jc w:val="both"/>
        <w:spacing w:after="0" w:line="263" w:lineRule="auto"/>
        <w:tabs>
          <w:tab w:leader="none" w:pos="18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3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consent of each holder of a fixed or floating security interest over a constituent company is required unless this requirement is waived by a court in the Cayman Islands.</w:t>
      </w:r>
    </w:p>
    <w:p>
      <w:pPr>
        <w:spacing w:after="0" w:line="172"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7" w:right="319" w:bottom="1440" w:gutter="0" w:footer="0" w:header="0"/>
        </w:sectPr>
      </w:pPr>
    </w:p>
    <w:bookmarkStart w:id="25" w:name="page26"/>
    <w:bookmarkEnd w:id="25"/>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class of shareholders, as the case may be; or (b) a majority in number representing 75% in value of creditors or each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33" w:lineRule="exact"/>
        <w:rPr>
          <w:sz w:val="20"/>
          <w:szCs w:val="20"/>
          <w:color w:val="auto"/>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statutory provisions as to the required majority vote have been met;</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shareholders have been fairly represented at the meeting in question and the statutory majority are acting bona fide without coercion of the minority to promote interests adverse to those of the class;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such that may be reasonably approved by an intelligent and honest man of that class acting in respect of his interest;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not one that would more properly be sanctioned under some other provision of the Companies Act.</w:t>
      </w:r>
    </w:p>
    <w:p>
      <w:pPr>
        <w:spacing w:after="0" w:line="172"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The Companies Act also contains a statutory power of compulsory acquisition which may facilitate the “squeeze out” of a dissentient minority shareholder upon a tender offer. When a tender offer is made and accepted by holders of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31"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29"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Shareholders’ Suits. </w:t>
      </w:r>
      <w:r>
        <w:rPr>
          <w:rFonts w:ascii="Times New Roman" w:cs="Times New Roman" w:eastAsia="Times New Roman" w:hAnsi="Times New Roman"/>
          <w:sz w:val="13"/>
          <w:szCs w:val="13"/>
          <w:color w:val="auto"/>
        </w:rPr>
        <w:t>In principle, we will normally be the proper plaintiff and as a general rule a derivative action may not be brought by a minority shareholder. However, based on English authorities,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25" w:lineRule="exact"/>
        <w:rPr>
          <w:sz w:val="20"/>
          <w:szCs w:val="20"/>
          <w:color w:val="auto"/>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acts or proposes to act illegally or ultra vires;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act complained of, although not ultra vires, could only be effected duly if authorized by more than a simple majority vote that has not been obtained;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those who control the company are perpetrating a “fraud on the minority.”</w:t>
      </w:r>
    </w:p>
    <w:p>
      <w:pPr>
        <w:spacing w:after="0" w:line="170" w:lineRule="exact"/>
        <w:rPr>
          <w:sz w:val="20"/>
          <w:szCs w:val="20"/>
          <w:color w:val="auto"/>
        </w:rPr>
      </w:pPr>
    </w:p>
    <w:p>
      <w:pPr>
        <w:jc w:val="both"/>
        <w:ind w:firstLine="241"/>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Indemnification of Directors and Executive Officers and Limitation of Liability. </w:t>
      </w:r>
      <w:r>
        <w:rPr>
          <w:rFonts w:ascii="Times New Roman" w:cs="Times New Roman" w:eastAsia="Times New Roman" w:hAnsi="Times New Roman"/>
          <w:sz w:val="13"/>
          <w:szCs w:val="13"/>
          <w:color w:val="auto"/>
        </w:rPr>
        <w:t>Cayman Islands law does not limit the extent to which a company’s memorandum and articles of association may provide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that we shall indemnify our directors and officers for the time being and from time to time, against all actions, proceedings, costs, charges, expenses, losses, damages or liabilities incurred or sustained by such persons, other than by reason of such person’s willful neglect or default, in connection with the execution or discharge of his duties, powers, authorities or discretions as a director or officer of the Company, including without prejudice to the generality of the foregoing, any costs, expenses, losses or liabilities incurred by such director or officer in defending (whether successfully or otherwise) any civil proceedings concerning or in any way related to our company or its affairs in any court whether in the Cayman Islands or elsewhere. This standard of conduct is generally the same as permitted under the Delaware General Corporation Law for a Delaware corporation.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6" w:name="page27"/>
    <w:bookmarkEnd w:id="26"/>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113"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1" w:lineRule="exact"/>
        <w:rPr>
          <w:sz w:val="20"/>
          <w:szCs w:val="20"/>
          <w:color w:val="auto"/>
        </w:rPr>
      </w:pPr>
    </w:p>
    <w:p>
      <w:pPr>
        <w:jc w:val="both"/>
        <w:ind w:firstLine="241"/>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Directors’ Fiduciary Duties. </w:t>
      </w:r>
      <w:r>
        <w:rPr>
          <w:rFonts w:ascii="Times New Roman" w:cs="Times New Roman" w:eastAsia="Times New Roman" w:hAnsi="Times New Roman"/>
          <w:sz w:val="13"/>
          <w:szCs w:val="13"/>
          <w:color w:val="auto"/>
        </w:rPr>
        <w:t>Under Delaware corporate law, a director of a Delaware corporation has a fiduciary duty to the corporation and its shareholders. This duty has two components: the duty of care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97"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32"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Shareholder Action by Written Consent. </w:t>
      </w:r>
      <w:r>
        <w:rPr>
          <w:rFonts w:ascii="Times New Roman" w:cs="Times New Roman" w:eastAsia="Times New Roman" w:hAnsi="Times New Roman"/>
          <w:sz w:val="13"/>
          <w:szCs w:val="13"/>
          <w:color w:val="auto"/>
        </w:rPr>
        <w:t>Under the Delaware General Corporation Law, a corporation may eliminate the right of shareholders to act by written consent by amendment to its certificate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incorporation. Cayman Islands law and our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23"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Shareholder Proposals. </w:t>
      </w:r>
      <w:r>
        <w:rPr>
          <w:rFonts w:ascii="Times New Roman" w:cs="Times New Roman" w:eastAsia="Times New Roman" w:hAnsi="Times New Roman"/>
          <w:sz w:val="13"/>
          <w:szCs w:val="13"/>
          <w:color w:val="auto"/>
        </w:rPr>
        <w:t>Under the Delaware General Corporation Law, a shareholder has the right to put any proposal before the annual meeting of shareholders, provided it complies with the notice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provisions in the governing documents. A special meeting may be called by the board of directors or any other person authorized to do so in the governing documents, but shareholders may be precluded from calling special meetings.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7" w:name="page28"/>
    <w:bookmarkEnd w:id="27"/>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allow our shareholders holding, at the date of deposit of the requisition, not less than one-third of the share capital of the Company which as at that date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amended and restated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32" w:lineRule="exact"/>
        <w:rPr>
          <w:sz w:val="20"/>
          <w:szCs w:val="20"/>
          <w:color w:val="auto"/>
        </w:rPr>
      </w:pPr>
    </w:p>
    <w:p>
      <w:pPr>
        <w:jc w:val="both"/>
        <w:ind w:firstLine="241"/>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Cumulative Voting. </w:t>
      </w:r>
      <w:r>
        <w:rPr>
          <w:rFonts w:ascii="Times New Roman" w:cs="Times New Roman" w:eastAsia="Times New Roman" w:hAnsi="Times New Roman"/>
          <w:sz w:val="13"/>
          <w:szCs w:val="13"/>
          <w:color w:val="auto"/>
        </w:rPr>
        <w:t>Under the Delaware General Corporation Law, cumulative voting for elections of directors is not permitted unless the corporation’s certificate of incorporation specifically provides for 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w:t>
      </w:r>
    </w:p>
    <w:p>
      <w:pPr>
        <w:spacing w:after="0" w:line="129"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3"/>
          <w:szCs w:val="13"/>
          <w:i w:val="1"/>
          <w:iCs w:val="1"/>
          <w:color w:val="auto"/>
        </w:rPr>
        <w:t>Removal of Directors</w:t>
      </w:r>
      <w:r>
        <w:rPr>
          <w:rFonts w:ascii="Times New Roman" w:cs="Times New Roman" w:eastAsia="Times New Roman" w:hAnsi="Times New Roman"/>
          <w:sz w:val="13"/>
          <w:szCs w:val="13"/>
          <w:color w:val="auto"/>
        </w:rPr>
        <w:t>. Under the Delaware General Corporation Law, a director of a corporation with a classified board may be removed only for cause with the approval of a majority of the outstanding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entitled to vote, unless the certificate of incorporation provides otherwise. Under our amended and restated memorandum and articles of association, subject to certain restrictions as contained therein, directors may be removed by a special resolution of our shareholders. In addition, a director’s office shall be vacated if the director (i) becomes bankrupt or makes any arrangement or composition with his creditors; (ii) is found to be or becomes of unsound mind; (iii) resigns his office by notice in writing to the company; (iv) without special leave of absence from our board of directors, is absent from meetings of our board of directors for six consecutive months and our board of directors resolves that his office be vacated; or (v) is removed from office pursuant to any other provisions of our amended and restated memorandum and articles of association or the Companies Act.</w:t>
      </w:r>
    </w:p>
    <w:p>
      <w:pPr>
        <w:spacing w:after="0" w:line="131"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Transactions with Interested Shareholders. </w:t>
      </w:r>
      <w:r>
        <w:rPr>
          <w:rFonts w:ascii="Times New Roman" w:cs="Times New Roman" w:eastAsia="Times New Roman" w:hAnsi="Times New Roman"/>
          <w:sz w:val="13"/>
          <w:szCs w:val="13"/>
          <w:color w:val="auto"/>
        </w:rPr>
        <w:t>The Delaware General Corporation Law contains a business combination statute applicable to Delaware corporations whereby, unless the corporation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97"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 xml:space="preserve">Restructuring. </w:t>
      </w:r>
      <w:r>
        <w:rPr>
          <w:rFonts w:ascii="Times New Roman" w:cs="Times New Roman" w:eastAsia="Times New Roman" w:hAnsi="Times New Roman"/>
          <w:sz w:val="13"/>
          <w:szCs w:val="13"/>
          <w:color w:val="auto"/>
        </w:rPr>
        <w:t>A company may present a petition to the Grand Court of the Cayman Islands for the appointment of a restructuring officer on the grounds that the company:</w:t>
      </w:r>
    </w:p>
    <w:p>
      <w:pPr>
        <w:spacing w:after="0" w:line="174" w:lineRule="exact"/>
        <w:rPr>
          <w:sz w:val="20"/>
          <w:szCs w:val="20"/>
          <w:color w:val="auto"/>
        </w:rPr>
      </w:pPr>
    </w:p>
    <w:p>
      <w:pPr>
        <w:ind w:left="420" w:hanging="179"/>
        <w:spacing w:after="0"/>
        <w:tabs>
          <w:tab w:leader="none" w:pos="4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 is likely to become unable to pay its debts; and</w:t>
      </w:r>
    </w:p>
    <w:p>
      <w:pPr>
        <w:spacing w:after="0" w:line="171" w:lineRule="exact"/>
        <w:rPr>
          <w:rFonts w:ascii="Times New Roman" w:cs="Times New Roman" w:eastAsia="Times New Roman" w:hAnsi="Times New Roman"/>
          <w:sz w:val="13"/>
          <w:szCs w:val="13"/>
          <w:color w:val="auto"/>
        </w:rPr>
      </w:pPr>
    </w:p>
    <w:p>
      <w:pPr>
        <w:ind w:left="440" w:hanging="199"/>
        <w:spacing w:after="0"/>
        <w:tabs>
          <w:tab w:leader="none" w:pos="4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intends to present a compromise or arrangement to its creditors (or classes thereof) either pursuant to the Companies Act, the law of a foreign country or by way of a consensual restructuring.</w:t>
      </w:r>
    </w:p>
    <w:p>
      <w:pPr>
        <w:spacing w:after="0" w:line="172"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28" w:name="page29"/>
    <w:bookmarkEnd w:id="28"/>
    <w:p>
      <w:pPr>
        <w:jc w:val="both"/>
        <w:ind w:firstLine="241"/>
        <w:spacing w:after="0" w:line="280" w:lineRule="auto"/>
        <w:rPr>
          <w:sz w:val="20"/>
          <w:szCs w:val="20"/>
          <w:color w:val="auto"/>
        </w:rPr>
      </w:pPr>
      <w:r>
        <w:rPr>
          <w:rFonts w:ascii="Times New Roman" w:cs="Times New Roman" w:eastAsia="Times New Roman" w:hAnsi="Times New Roman"/>
          <w:sz w:val="13"/>
          <w:szCs w:val="13"/>
          <w:i w:val="1"/>
          <w:iCs w:val="1"/>
          <w:color w:val="auto"/>
        </w:rPr>
        <w:t>Dissolution; Winding up</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Delaware General Corporation Law, unless the board of directors approves the proposal to dissolve, dissolution must be approved by shareholders holding 100%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2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memorandum and articles of association, our company may be dissolved, liquidated or wound up by a special resolution of our shareholders.</w:t>
      </w:r>
    </w:p>
    <w:p>
      <w:pPr>
        <w:spacing w:after="0" w:line="123"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3"/>
          <w:szCs w:val="13"/>
          <w:i w:val="1"/>
          <w:iCs w:val="1"/>
          <w:color w:val="auto"/>
        </w:rPr>
        <w:t xml:space="preserve">Variation of Rights of Shares. </w:t>
      </w:r>
      <w:r>
        <w:rPr>
          <w:rFonts w:ascii="Times New Roman" w:cs="Times New Roman" w:eastAsia="Times New Roman" w:hAnsi="Times New Roman"/>
          <w:sz w:val="13"/>
          <w:szCs w:val="13"/>
          <w:color w:val="auto"/>
        </w:rPr>
        <w:t>Under the Delaware General Corporation Law, a corporation may vary the rights of a class of shares with the approval of a majority of the outstanding shares of such class,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unless the certificate of incorporation provides otherwise. Under our amended and restated memorandum and articles of association, if our share capital is divided into different classes of shares, the rights attached to any such class of shares (unless otherwise provided by the terms of issue of the shares of that class) may, subject to our amended and restated memorandum and articles of association, be varied or abrogated with the consent in writing of the holders of a majority of the issued shares of that class or with the sanction of a special resolution passed at a general meeting of the holders of the shares of that class. The rights conferred upon the holders of the shares of any class shall not, unless otherwise expressly provided by the terms of issue of the shares of that class, be deemed to be varied by the creation or issue of further shares ranking in priority to or pari passu therewith.</w:t>
      </w:r>
    </w:p>
    <w:p>
      <w:pPr>
        <w:spacing w:after="0" w:line="131"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Amendment of Governing Documents. </w:t>
      </w:r>
      <w:r>
        <w:rPr>
          <w:rFonts w:ascii="Times New Roman" w:cs="Times New Roman" w:eastAsia="Times New Roman" w:hAnsi="Times New Roman"/>
          <w:sz w:val="13"/>
          <w:szCs w:val="13"/>
          <w:color w:val="auto"/>
        </w:rPr>
        <w:t>Under the Delaware General Corporation Law, a corporation’s governing documents may be amended with the approval of a majority of the outstanding shares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entitled to vote, unless the certificate of incorporation provides otherwise. Under Cayman Islands law, our amended and restated memorandum and articles of association may only be amended with a special resolution of our shareholders.</w:t>
      </w:r>
    </w:p>
    <w:p>
      <w:pPr>
        <w:spacing w:after="0" w:line="123" w:lineRule="exact"/>
        <w:rPr>
          <w:sz w:val="20"/>
          <w:szCs w:val="20"/>
          <w:color w:val="auto"/>
        </w:rPr>
      </w:pPr>
    </w:p>
    <w:p>
      <w:pPr>
        <w:jc w:val="both"/>
        <w:ind w:firstLine="241"/>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Rights of Non-resident or Foreign Shareholders. </w:t>
      </w:r>
      <w:r>
        <w:rPr>
          <w:rFonts w:ascii="Times New Roman" w:cs="Times New Roman" w:eastAsia="Times New Roman" w:hAnsi="Times New Roman"/>
          <w:sz w:val="13"/>
          <w:szCs w:val="13"/>
          <w:color w:val="auto"/>
        </w:rPr>
        <w:t>There are no limitations imposed by our amended and restated memorandum and articles of association on the rights of non-resident or foreign shareholders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hold or exercise voting rights on our shares. In addition, there are no provisions in our amended and restated memorandum and articles of association governing the ownership threshold above which shareholder ownership must be disclosed.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History of Securities Issuances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following is a summary of our securities issuances in the past three years. Unless otherwise indicated, all share numbers in this section are presented on a post-First Share Consolidation (1-for-400 effective on May 21, 2025) but pre-Second Share Consolidation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Ordinary Shares and Warrants</w:t>
      </w:r>
    </w:p>
    <w:p>
      <w:pPr>
        <w:spacing w:after="0" w:line="176"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On December 30, 2024, we entered into a share subscription agreement with each of Maase Inc. and Infinew Limited, pursuant to which we issued 1,275,000 Class B ordinary shares (as adjusted for the 400-for-1 Share Consolidation effective on May 21, 2025) to Maase Inc. and 1,225,000 Class B ordinary shares to Infinew Limited, at a price of US$0.4 per Class B ordinary share, for a total consideration of US$510,000 and US$490,000, respectively. The share issuance was completed on January 2, 2025. Each of Maase Inc. and Infinew Limited subsequently converted all of their respective Class B ordinary shares to Class A ordinary shares on a one-for-one basis.</w:t>
      </w:r>
    </w:p>
    <w:p>
      <w:pPr>
        <w:spacing w:after="0" w:line="131"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On July 7, 2025, we entered into a definitive share purchase agreement for a private placement and warrant offering with certain investors, pursuant to which, we agreed to issue and sell to the investors, (i) an aggregate of 10,000,000 Class A ordinary shares, par value US$0.4 per share, at a price of $3.156 per share (the “Share Issuance”), and (ii) a warrant to purchase up to 20,000,000 additional Class A ordinary shares. 50% of the warrant will be exercisable at US$6.312, with the remaining 50% exercisable at US$7.890. The Share Issuance was completed on July 23, 2025. The warrants shall be exercisable on October 23, 2025 and will expire on October 23, 2030.</w:t>
      </w:r>
    </w:p>
    <w:p>
      <w:pPr>
        <w:spacing w:after="0" w:line="131"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On November 7, 2025, we entered into a share subscription agreement with Expansion Group Ltd, pursuant to which we agreed to issue to Expansion Group Ltd 5,000,000 Class B ordinary shares, at a price of US$0.4 per share, for a total consideration of US$2,000,000 (the “Class B Share Issuance”). The Class B Share Issuance was completed on December 22, 2025.</w:t>
      </w:r>
    </w:p>
    <w:p>
      <w:pPr>
        <w:spacing w:after="0" w:line="113"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On December 12, 2025, we entered into a transaction agreement with Nova Lumina Limited (“Nova”), and its existing shareholders, YS Management Company Limited (“YSM”) and Ethereal Group Ltd (“Ethereal”) (collectively the “Sellers”) to acquire 100% of the equity interest of Nova from the Sellers. The total consideration consists of 102,578,839 of our Class A ordinary shares (the “Consideration Shares”) and a cash payment of US$22.0 million, based on a purchase price of US$1.0 per share of our Class A ordinary shares (the “Transaction”). 96,526,648 Class A ordinary shares and 6,052,191 Class A ordinary shares were issued to YSM and Ethereal, respectively, with an additional cash payment of US$22.0 million payable to Ethereal within 365 days after the closing of the Transaction. The Consideration Shares issued to YSM are subject to a lock-up period of five years from the closing date. The Transaction was completed on January 9, 2026.</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Share Award Grants</w:t>
      </w:r>
    </w:p>
    <w:p>
      <w:pPr>
        <w:spacing w:after="0" w:line="176" w:lineRule="exact"/>
        <w:rPr>
          <w:sz w:val="20"/>
          <w:szCs w:val="20"/>
          <w:color w:val="auto"/>
        </w:rPr>
      </w:pPr>
    </w:p>
    <w:p>
      <w:pPr>
        <w:jc w:val="both"/>
        <w:ind w:firstLine="241"/>
        <w:spacing w:after="0" w:line="268" w:lineRule="auto"/>
        <w:rPr>
          <w:sz w:val="20"/>
          <w:szCs w:val="20"/>
          <w:color w:val="auto"/>
        </w:rPr>
      </w:pPr>
      <w:r>
        <w:rPr>
          <w:rFonts w:ascii="Times New Roman" w:cs="Times New Roman" w:eastAsia="Times New Roman" w:hAnsi="Times New Roman"/>
          <w:sz w:val="13"/>
          <w:szCs w:val="13"/>
          <w:color w:val="auto"/>
        </w:rPr>
        <w:t>We have granted share awards to certain of our employees, directors and consultants. See “Item 6. Directors, Senior Management and Employees—6.B. Compensation—Share Incentives” in the 2025 Form 20-F.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PREFERRED SHARES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particular terms of each issue or series of preferred shares will be described in the applicable prospectus supplement. This description will include, where applicable, a description of:</w:t>
      </w:r>
    </w:p>
    <w:p>
      <w:pPr>
        <w:spacing w:after="0" w:line="172" w:lineRule="exact"/>
        <w:rPr>
          <w:sz w:val="20"/>
          <w:szCs w:val="20"/>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and nominal value of the preferred shares;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preferred shares we are offering;</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liquidation preference per preferred share, if any;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 price per preferred share (or if applicable, the calculation formula of the issue price per preferred share);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preferential subscription rights will be issued to existing shareholders;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rate per preferred share, dividend period and payment dates and method of calculation for dividends;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dividends will be cumulative or non-cumulative and, if cumulative, the date from which dividends will accumulate;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right, if any, to defer payment of dividends and the maximum length of any such deferral period;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relative ranking and preferences of the preferred shares as to dividend rights (preferred dividend if any) and rights if we liquidate, dissolve or wind up our company;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procedures for any auction and remarketing, if any;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for redemption or repurchase, if applicable, and any restrictions on our ability to exercise those redemption and repurchase rights;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listing of the preferred shares on any securities exchange or market;</w:t>
      </w:r>
    </w:p>
    <w:p>
      <w:pPr>
        <w:spacing w:after="0" w:line="171"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preferred shares will be convertible into our Class A ordinary shares or preferred shares of another category, and, if applicable, conditions of an automatic conversion into Class A ordinary shares, if any, the conversion period, the conversion price, or how such price will be calculated, and under what circumstances it may be adjusted;</w:t>
      </w:r>
    </w:p>
    <w:p>
      <w:pPr>
        <w:spacing w:after="0" w:line="11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rights, if any, of the preferred shares;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preemption rights, if any;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restrictions on transfer, sale or assignment, if any;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any material or special Cayman Islands or United States federal income tax considerations applicable to the preferred shares;</w:t>
      </w:r>
    </w:p>
    <w:p>
      <w:pPr>
        <w:spacing w:after="0" w:line="171"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11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rights attached to the preferred shares regarding the corporate governance of our company, which may include, for example representation rights to the board of directors;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specific terms, rights, preferences, privileges, qualifications or restrictions of the preferred shares.</w:t>
      </w:r>
    </w:p>
    <w:p>
      <w:pPr>
        <w:spacing w:after="0" w:line="172"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Our board of directors may cause us to issue from time to time, out of our authorized share capital (other than the authorized but unissued ordinary shares), series of preferred shares in their absolute discretion, subject to a re-classification of our authorized share capital to be approved by the shareholders and provided that before any preferred shares of any such series are issued, our board of directors shall by resolution of directors determine, with respect to any series of preferred shares, the terms and rights of that series.</w:t>
      </w:r>
    </w:p>
    <w:p>
      <w:pPr>
        <w:spacing w:after="0" w:line="12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When we issue preferred shares under this prospectus and the applicable prospectus supplement, the shares will be fully paid and non-assessable and will not have, or be subject to, any preemptive or similar rights.</w:t>
      </w:r>
    </w:p>
    <w:p>
      <w:pPr>
        <w:spacing w:after="0" w:line="11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The issuance of preferred shares could adversely affect the voting power of holders of ordinary shares and reduce the likelihood that holders of ordinary shares will receive dividend payments and payments upon liquidation. The issuance could have the effect of decreasing the market price of our Class A ordinary shares. The issuance of preferred shares also could have the effect of delaying, deterring or preventing a change in control of our company.</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WARRANTS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76"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We may issue warrants to purchase Class A ordinary shares.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applicable prospectus supplement will describe the following terms of any warrants in respect of which this prospectus is being delivered:</w:t>
      </w:r>
    </w:p>
    <w:p>
      <w:pPr>
        <w:spacing w:after="0" w:line="172" w:lineRule="exact"/>
        <w:rPr>
          <w:sz w:val="20"/>
          <w:szCs w:val="20"/>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such warrants;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such warrants;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such warrants will be issued and exercised;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 which the price of such warrants will be payable;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purchasable upon exercise of such warrants;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such warrants shall commence and the date on which such right shall expire;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minimum or maximum amount of such warrants which may be exercised at any one time;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securities with which such warrants are issued and the number of such warrants issued with each such security;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date on and after which such warrants and the related securities will be separately transferable;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with respect to book-entry procedures, if any;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material Cayman Islands or United States federal income tax consequences;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antidilution provisions of the warrants, if any;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such warrants, including terms, procedures and limitations relating to the exchange and exercise of such warrants.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Amendments and Supplements to Warrant Agreement</w:t>
      </w:r>
    </w:p>
    <w:p>
      <w:pPr>
        <w:spacing w:after="0" w:line="176" w:lineRule="exact"/>
        <w:rPr>
          <w:sz w:val="20"/>
          <w:szCs w:val="20"/>
          <w:color w:val="auto"/>
        </w:rPr>
      </w:pPr>
    </w:p>
    <w:p>
      <w:pPr>
        <w:ind w:firstLine="241"/>
        <w:spacing w:after="0" w:line="296" w:lineRule="auto"/>
        <w:rPr>
          <w:sz w:val="20"/>
          <w:szCs w:val="20"/>
          <w:color w:val="auto"/>
        </w:rPr>
      </w:pPr>
      <w:r>
        <w:rPr>
          <w:rFonts w:ascii="Times New Roman" w:cs="Times New Roman" w:eastAsia="Times New Roman" w:hAnsi="Times New Roman"/>
          <w:sz w:val="13"/>
          <w:szCs w:val="13"/>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SUBSCRIPTION RIGHTS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76" w:lineRule="exact"/>
        <w:rPr>
          <w:sz w:val="20"/>
          <w:szCs w:val="20"/>
          <w:color w:val="auto"/>
        </w:rPr>
      </w:pPr>
    </w:p>
    <w:p>
      <w:pPr>
        <w:jc w:val="both"/>
        <w:ind w:firstLine="241"/>
        <w:spacing w:after="0" w:line="269" w:lineRule="auto"/>
        <w:rPr>
          <w:sz w:val="20"/>
          <w:szCs w:val="20"/>
          <w:color w:val="auto"/>
        </w:rPr>
      </w:pPr>
      <w:r>
        <w:rPr>
          <w:rFonts w:ascii="Times New Roman" w:cs="Times New Roman" w:eastAsia="Times New Roman" w:hAnsi="Times New Roman"/>
          <w:sz w:val="13"/>
          <w:szCs w:val="13"/>
          <w:color w:val="auto"/>
        </w:rPr>
        <w:t>We may issue subscription rights to purchase Class A ordinary shares.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applicable prospectus supplement will describe the following terms of subscription rights in respect of which this prospectus is being delivered:</w:t>
      </w:r>
    </w:p>
    <w:p>
      <w:pPr>
        <w:spacing w:after="0" w:line="172" w:lineRule="exact"/>
        <w:rPr>
          <w:sz w:val="20"/>
          <w:szCs w:val="20"/>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such subscription rights;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for which such subscription rights are exercisable;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exercise price for such subscription rights;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such subscription rights issued to each shareholder;</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such subscription rights are transferable;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a discussion of the material Cayman Islands or United States federal income tax considerations applicable to the issuance or exercise of such subscription rights;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such subscription rights shall commence, and the date on which such rights shall expire (subject to any extension);</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such subscription rights include an over-subscription privilege with respect to unsubscribed securities;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material terms of any standby underwriting or other purchase arrangement that we may enter into in connection with the subscription rights offering;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such subscription rights, including terms, procedures and limitations relating to the exchange and exercise of such subscription rights.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Exercise of Subscription Rights</w:t>
      </w:r>
    </w:p>
    <w:p>
      <w:pPr>
        <w:spacing w:after="0" w:line="17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25"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UNITS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1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applicable prospectus supplement will describe:</w:t>
      </w:r>
    </w:p>
    <w:p>
      <w:pPr>
        <w:spacing w:after="0" w:line="172" w:lineRule="exact"/>
        <w:rPr>
          <w:sz w:val="20"/>
          <w:szCs w:val="20"/>
          <w:color w:val="auto"/>
        </w:rPr>
      </w:pPr>
    </w:p>
    <w:p>
      <w:pPr>
        <w:ind w:left="480" w:hanging="239"/>
        <w:spacing w:after="0"/>
        <w:tabs>
          <w:tab w:leader="none" w:pos="4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the units and of the securities comprising the units, including whether and under what circumstances those securities may be held or transferred separately;</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unit agreement under which the units will be issued;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for the issuance, payment, settlement, transfer or exchange of the units or of the securities comprising the units;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units will be issued in fully registered or global form.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3"/>
          <w:szCs w:val="13"/>
          <w:b w:val="1"/>
          <w:bCs w:val="1"/>
          <w:color w:val="auto"/>
        </w:rPr>
        <w:t>ENFORCEABILITY OF CIVIL LIABILITIES</w:t>
      </w:r>
    </w:p>
    <w:p>
      <w:pPr>
        <w:spacing w:after="0" w:line="176"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31" w:lineRule="exact"/>
        <w:rPr>
          <w:sz w:val="20"/>
          <w:szCs w:val="20"/>
          <w:color w:val="auto"/>
        </w:rPr>
      </w:pPr>
    </w:p>
    <w:p>
      <w:pPr>
        <w:jc w:val="both"/>
        <w:ind w:firstLine="241"/>
        <w:spacing w:after="0" w:line="269" w:lineRule="auto"/>
        <w:rPr>
          <w:sz w:val="20"/>
          <w:szCs w:val="20"/>
          <w:color w:val="auto"/>
        </w:rPr>
      </w:pPr>
      <w:r>
        <w:rPr>
          <w:rFonts w:ascii="Times New Roman" w:cs="Times New Roman" w:eastAsia="Times New Roman" w:hAnsi="Times New Roman"/>
          <w:sz w:val="13"/>
          <w:szCs w:val="13"/>
          <w:color w:val="auto"/>
        </w:rPr>
        <w:t>All of our operations are conducted in China, and most of our assets are located in China. In addition, all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spacing w:after="0" w:line="294" w:lineRule="exact"/>
        <w:rPr>
          <w:sz w:val="20"/>
          <w:szCs w:val="20"/>
          <w:color w:val="auto"/>
        </w:rPr>
      </w:pPr>
    </w:p>
    <w:p>
      <w:pPr>
        <w:jc w:val="both"/>
        <w:ind w:firstLine="241"/>
        <w:spacing w:after="0" w:line="289" w:lineRule="auto"/>
        <w:rPr>
          <w:sz w:val="20"/>
          <w:szCs w:val="20"/>
          <w:color w:val="auto"/>
        </w:rPr>
      </w:pPr>
      <w:r>
        <w:rPr>
          <w:rFonts w:ascii="Times New Roman" w:cs="Times New Roman" w:eastAsia="Times New Roman" w:hAnsi="Times New Roman"/>
          <w:sz w:val="13"/>
          <w:szCs w:val="13"/>
          <w:color w:val="auto"/>
        </w:rPr>
        <w:t>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w:t>
      </w:r>
    </w:p>
    <w:p>
      <w:pPr>
        <w:spacing w:after="0" w:line="2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Maples and Calder (Hong Kong) LLP, our counsel as to Cayman Islands law, has advised us that the courts of the Cayman Islands are unlikely to:</w:t>
      </w:r>
    </w:p>
    <w:p>
      <w:pPr>
        <w:spacing w:after="0" w:line="172" w:lineRule="exact"/>
        <w:rPr>
          <w:sz w:val="20"/>
          <w:szCs w:val="20"/>
          <w:color w:val="auto"/>
        </w:rPr>
      </w:pPr>
    </w:p>
    <w:p>
      <w:pPr>
        <w:ind w:left="480" w:hanging="239"/>
        <w:spacing w:after="0" w:line="296" w:lineRule="auto"/>
        <w:tabs>
          <w:tab w:leader="none" w:pos="4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13"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original actions brought in the jurisdiction of the Cayman Islands, impose liabilities against us or our directors or officers predicated upon the securities laws of the United States or any state in the United States, so far as the liabilities imposed by those provisions are penal in nature.</w:t>
      </w:r>
    </w:p>
    <w:p>
      <w:pPr>
        <w:spacing w:after="0" w:line="113"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3"/>
          <w:szCs w:val="13"/>
          <w:color w:val="auto"/>
        </w:rPr>
        <w:t>Maples and Calder (Hong Kong) LLP has informed us that in those circumstances, although there is no statutory enforcement in the Cayman Islands of judgments obtained in the federal or state courts of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such judgment (a) is given by a foreign court of competent jurisdiction, (b) imposes on the judgment debtor a liability to pay a liquidated sum for which the judgment has been given, (c) is final and conclusive, (d) is not in respect of taxes, a fine or a penalty, and (e) is not inconsistent with a Cayman Islands judgment in respect of the same manner, impeachable on the grounds of fraud and is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United States.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36"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3"/>
          <w:szCs w:val="13"/>
          <w:color w:val="auto"/>
        </w:rPr>
        <w:t>Hai Run Law Firm, our PRC legal adviser,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Hai Run Law Firm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76" w:lineRule="exact"/>
        <w:rPr>
          <w:sz w:val="20"/>
          <w:szCs w:val="20"/>
          <w:color w:val="auto"/>
        </w:rPr>
      </w:pPr>
    </w:p>
    <w:p>
      <w:pPr>
        <w:ind w:firstLine="241"/>
        <w:spacing w:after="0" w:line="296" w:lineRule="auto"/>
        <w:rPr>
          <w:sz w:val="20"/>
          <w:szCs w:val="20"/>
          <w:color w:val="auto"/>
        </w:rPr>
      </w:pPr>
      <w:r>
        <w:rPr>
          <w:rFonts w:ascii="Times New Roman" w:cs="Times New Roman" w:eastAsia="Times New Roman" w:hAnsi="Times New Roman"/>
          <w:sz w:val="13"/>
          <w:szCs w:val="13"/>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3"/>
          <w:szCs w:val="13"/>
          <w:b w:val="1"/>
          <w:bCs w:val="1"/>
          <w:color w:val="auto"/>
        </w:rPr>
        <w:t>SELLING SHAREHOLDERS</w:t>
      </w:r>
    </w:p>
    <w:p>
      <w:pPr>
        <w:spacing w:after="0" w:line="176" w:lineRule="exact"/>
        <w:rPr>
          <w:sz w:val="20"/>
          <w:szCs w:val="20"/>
          <w:color w:val="auto"/>
        </w:rPr>
      </w:pPr>
    </w:p>
    <w:p>
      <w:pPr>
        <w:jc w:val="both"/>
        <w:ind w:firstLine="241"/>
        <w:spacing w:after="0" w:line="289" w:lineRule="auto"/>
        <w:rPr>
          <w:sz w:val="20"/>
          <w:szCs w:val="20"/>
          <w:color w:val="auto"/>
        </w:rPr>
      </w:pPr>
      <w:r>
        <w:rPr>
          <w:rFonts w:ascii="Times New Roman" w:cs="Times New Roman" w:eastAsia="Times New Roman" w:hAnsi="Times New Roman"/>
          <w:sz w:val="13"/>
          <w:szCs w:val="13"/>
          <w:color w:val="auto"/>
        </w:rPr>
        <w:t>This prospectus covers the proposed sale from time to time by the selling shareholders identified in the table herein and/or their affiliates of up to an aggregate of 103,747,628 Class A ordinary shares held by the selling shareholders. Unless otherwise indicated, all share numbers in this section are presented on a post-First Share Consolidation (1-for-400 effective on May 21, 2025) but pre-Second Share Consolidation basis.</w:t>
      </w:r>
    </w:p>
    <w:p>
      <w:pPr>
        <w:spacing w:after="0" w:line="28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have no assurance that the selling shareholders will sell any of the securities registered for sale hereunder. The selling shareholders may sell such securities to or through underwriters, dealers or agents or directly to purchasers or otherwise. See “Plan of Distribution.” The selling shareholders may also sell, transfer or otherwise dispose of some or all such securities in transactions exempt from the registration requirements of the Securities Act. Accordingly, we cannot estimate the number of Class A ordinary shares that the selling shareholders will sell under this prospectus.</w:t>
      </w:r>
    </w:p>
    <w:p>
      <w:pPr>
        <w:spacing w:after="0" w:line="12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table below provides information about the ownership of the selling shareholders of our shares and the maximum number of Class A ordinary shares that may be offered from time to time by the selling shareholders hereunder. The selling shareholders may sell less than all of the shares listed in the table below.</w:t>
      </w:r>
    </w:p>
    <w:p>
      <w:pPr>
        <w:spacing w:after="0" w:line="11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The information in the following table and the related notes is based on information filed with the SEC or supplied to us by the selling shareholders. We have not sought to verify such information. Information about the selling shareholders may change over time. Any changed or new information given to us by the selling shareholders will be set forth in supplements to this prospectus, the accompanying prospectus or amendments to the registration statement, if and when necessary.</w:t>
      </w:r>
    </w:p>
    <w:p>
      <w:pPr>
        <w:spacing w:after="0" w:line="125"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Beneficial ownership is determined in accordance with the rules and regulations of the SEC. In computing the number of shares beneficially owned by a person and the percentage ownership and voting power percentage of that person, we have included shares and associated votes that the person has the right to acquire within 60 days, including through the exercise of any option, warrant or other right or the conversion of any other security. The calculations are based on 123,514,110 ordinary shares outstanding as of the date of this prospectus, comprising of (i) 118,514,110 Class A ordinary shares, and (ii) 5,000,000 Class B ordinary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Shares Registered</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Pursuant</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 this Registration</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Statement</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 of</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number</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Class A 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Class B Ordinary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of Aggregate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of Shares that may</w:t>
            </w:r>
          </w:p>
        </w:tc>
        <w:tc>
          <w:tcPr>
            <w:tcW w:w="0" w:type="dxa"/>
            <w:vAlign w:val="bottom"/>
          </w:tcPr>
          <w:p>
            <w:pPr>
              <w:spacing w:after="0"/>
              <w:rPr>
                <w:sz w:val="1"/>
                <w:szCs w:val="1"/>
                <w:color w:val="auto"/>
              </w:rPr>
            </w:pPr>
          </w:p>
        </w:tc>
      </w:tr>
      <w:tr>
        <w:trPr>
          <w:trHeight w:val="201"/>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Selling Shareholders: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6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3"/>
                <w:szCs w:val="13"/>
                <w:b w:val="1"/>
                <w:bCs w:val="1"/>
                <w:color w:val="auto"/>
                <w:w w:val="98"/>
              </w:rPr>
              <w:t>Ownership</w:t>
            </w:r>
            <w:r>
              <w:rPr>
                <w:rFonts w:ascii="Times New Roman" w:cs="Times New Roman" w:eastAsia="Times New Roman" w:hAnsi="Times New Roman"/>
                <w:sz w:val="22"/>
                <w:szCs w:val="22"/>
                <w:b w:val="1"/>
                <w:bCs w:val="1"/>
                <w:color w:val="auto"/>
                <w:w w:val="98"/>
                <w:vertAlign w:val="superscript"/>
              </w:rPr>
              <w:t>†</w:t>
            </w:r>
          </w:p>
        </w:tc>
        <w:tc>
          <w:tcPr>
            <w:tcW w:w="136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3"/>
                <w:szCs w:val="13"/>
                <w:b w:val="1"/>
                <w:bCs w:val="1"/>
                <w:color w:val="auto"/>
              </w:rPr>
              <w:t>Voting Power</w:t>
            </w:r>
            <w:r>
              <w:rPr>
                <w:rFonts w:ascii="Times New Roman" w:cs="Times New Roman" w:eastAsia="Times New Roman" w:hAnsi="Times New Roman"/>
                <w:sz w:val="22"/>
                <w:szCs w:val="22"/>
                <w:b w:val="1"/>
                <w:bCs w:val="1"/>
                <w:color w:val="auto"/>
                <w:vertAlign w:val="superscript"/>
              </w:rPr>
              <w: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0" w:type="dxa"/>
            <w:vAlign w:val="bottom"/>
          </w:tcPr>
          <w:p>
            <w:pPr>
              <w:spacing w:after="0"/>
              <w:rPr>
                <w:sz w:val="1"/>
                <w:szCs w:val="1"/>
                <w:color w:val="auto"/>
              </w:rPr>
            </w:pPr>
          </w:p>
        </w:tc>
      </w:tr>
      <w:tr>
        <w:trPr>
          <w:trHeight w:val="161"/>
        </w:trPr>
        <w:tc>
          <w:tcPr>
            <w:tcW w:w="4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3"/>
                <w:szCs w:val="13"/>
                <w:color w:val="auto"/>
              </w:rPr>
              <w:t>YS Management Company Limited</w:t>
            </w:r>
            <w:r>
              <w:rPr>
                <w:rFonts w:ascii="Times New Roman" w:cs="Times New Roman" w:eastAsia="Times New Roman" w:hAnsi="Times New Roman"/>
                <w:sz w:val="22"/>
                <w:szCs w:val="22"/>
                <w:color w:val="auto"/>
                <w:vertAlign w:val="superscript"/>
              </w:rPr>
              <w:t>(1)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96,526,648</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78.15%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96,526,648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gridSpan w:val="2"/>
          </w:tcPr>
          <w:p>
            <w:pPr>
              <w:spacing w:after="0" w:line="191" w:lineRule="exact"/>
              <w:rPr>
                <w:sz w:val="20"/>
                <w:szCs w:val="20"/>
                <w:color w:val="auto"/>
              </w:rPr>
            </w:pPr>
            <w:r>
              <w:rPr>
                <w:rFonts w:ascii="Times New Roman" w:cs="Times New Roman" w:eastAsia="Times New Roman" w:hAnsi="Times New Roman"/>
                <w:sz w:val="13"/>
                <w:szCs w:val="13"/>
                <w:color w:val="auto"/>
              </w:rPr>
              <w:t>Ethereal Group Ltd</w:t>
            </w:r>
            <w:r>
              <w:rPr>
                <w:rFonts w:ascii="Times New Roman" w:cs="Times New Roman" w:eastAsia="Times New Roman" w:hAnsi="Times New Roman"/>
                <w:sz w:val="22"/>
                <w:szCs w:val="22"/>
                <w:color w:val="auto"/>
                <w:vertAlign w:val="superscript"/>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5,995,730</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0.97%</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5,995,730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3"/>
                <w:szCs w:val="13"/>
                <w:color w:val="auto"/>
              </w:rPr>
              <w:t>Infinew Limited</w:t>
            </w:r>
            <w:r>
              <w:rPr>
                <w:rFonts w:ascii="Times New Roman" w:cs="Times New Roman" w:eastAsia="Times New Roman" w:hAnsi="Times New Roman"/>
                <w:sz w:val="22"/>
                <w:szCs w:val="22"/>
                <w:color w:val="auto"/>
                <w:vertAlign w:val="superscript"/>
              </w:rPr>
              <w:t>(3)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1,225,250</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0.99%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1,225,250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0" w:hanging="240"/>
        <w:spacing w:after="0" w:line="296" w:lineRule="auto"/>
        <w:tabs>
          <w:tab w:leader="none" w:pos="2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column, percentage ownership is calculated by dividing the number of ordinary shares beneficially owned by such person or group by the sum of the total number of ordinary shares outstanding.</w:t>
      </w:r>
    </w:p>
    <w:p>
      <w:pPr>
        <w:spacing w:after="0" w:line="113" w:lineRule="exact"/>
        <w:rPr>
          <w:sz w:val="20"/>
          <w:szCs w:val="20"/>
          <w:color w:val="auto"/>
        </w:rPr>
      </w:pPr>
    </w:p>
    <w:p>
      <w:pPr>
        <w:jc w:val="both"/>
        <w:ind w:left="240" w:hanging="240"/>
        <w:spacing w:after="0" w:line="274" w:lineRule="auto"/>
        <w:tabs>
          <w:tab w:leader="none" w:pos="2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291" w:lineRule="exact"/>
        <w:rPr>
          <w:sz w:val="20"/>
          <w:szCs w:val="20"/>
          <w:color w:val="auto"/>
        </w:rPr>
      </w:pPr>
    </w:p>
    <w:p>
      <w:pPr>
        <w:jc w:val="both"/>
        <w:ind w:left="240" w:hanging="240"/>
        <w:spacing w:after="0" w:line="277" w:lineRule="auto"/>
        <w:tabs>
          <w:tab w:leader="none" w:pos="2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96,526,648 Class A ordinary shares directly held by YS Management Company Limited, which is 100% owned by Yif Liu. Consequently, Yif Liu may be deemed to beneficially own the ordinary shares held by YS Management Company Limited. The principle registered address of YS Management Company Limited is Room 1604, 16/F, OfficePlus@Sheung Wan, 93-103 Wing Lok Street, Sheung Wan, Hong Kong.</w:t>
      </w:r>
    </w:p>
    <w:p>
      <w:pPr>
        <w:spacing w:after="0" w:line="125" w:lineRule="exact"/>
        <w:rPr>
          <w:rFonts w:ascii="Times New Roman" w:cs="Times New Roman" w:eastAsia="Times New Roman" w:hAnsi="Times New Roman"/>
          <w:sz w:val="13"/>
          <w:szCs w:val="13"/>
          <w:color w:val="auto"/>
        </w:rPr>
      </w:pPr>
    </w:p>
    <w:p>
      <w:pPr>
        <w:ind w:left="240" w:hanging="240"/>
        <w:spacing w:after="0" w:line="296" w:lineRule="auto"/>
        <w:tabs>
          <w:tab w:leader="none" w:pos="2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5,995,730 Class A ordinary shares directly held by Ethereal Group Ltd, which is 100% owned by Jiali Zhao. Consequently, Jiali Zhao may be deemed to beneficially own the ordinary shares held by Ethereal Group Ltd. The registered address of Ethereal Group Ltd is Craigmuir Chambers, Road Town, Tortola, VG 1110, British Virgin Islands.</w:t>
      </w:r>
    </w:p>
    <w:p>
      <w:pPr>
        <w:spacing w:after="0" w:line="113" w:lineRule="exact"/>
        <w:rPr>
          <w:rFonts w:ascii="Times New Roman" w:cs="Times New Roman" w:eastAsia="Times New Roman" w:hAnsi="Times New Roman"/>
          <w:sz w:val="13"/>
          <w:szCs w:val="13"/>
          <w:color w:val="auto"/>
        </w:rPr>
      </w:pPr>
    </w:p>
    <w:p>
      <w:pPr>
        <w:ind w:left="240" w:hanging="240"/>
        <w:spacing w:after="0" w:line="296" w:lineRule="auto"/>
        <w:tabs>
          <w:tab w:leader="none" w:pos="2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1,225,250 Class A ordinary shares directly held by Infinew Limited, which is 100% owned by Katherine Wang. Consequently, Katherine Wang may be deemed to beneficially own the ordinary shares held by Infinew Limited. The registered address of Infinew Limited is Craigmuir Chambers, Road Town, Tortola, VG 1110, British Virgin Islands.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6" w:lineRule="exact"/>
        <w:rPr>
          <w:sz w:val="20"/>
          <w:szCs w:val="20"/>
          <w:color w:val="auto"/>
        </w:rPr>
      </w:pPr>
    </w:p>
    <w:p>
      <w:pPr>
        <w:jc w:val="both"/>
        <w:ind w:firstLine="241"/>
        <w:spacing w:after="0" w:line="289" w:lineRule="auto"/>
        <w:rPr>
          <w:sz w:val="20"/>
          <w:szCs w:val="20"/>
          <w:color w:val="auto"/>
        </w:rPr>
      </w:pPr>
      <w:r>
        <w:rPr>
          <w:rFonts w:ascii="Times New Roman" w:cs="Times New Roman" w:eastAsia="Times New Roman" w:hAnsi="Times New Roman"/>
          <w:sz w:val="13"/>
          <w:szCs w:val="13"/>
          <w:color w:val="auto"/>
        </w:rPr>
        <w:t>The term “selling shareholders” includes donees, pledgees, transferees or other successors in interest selling securities received after the date of this prospectus from the selling shareholders as a gift, pledge, partnership distribution or other transfer. We and/or any selling shareholders may sell the securities described in this prospectus from time to time in one or more of the following ways, including without limitation:</w:t>
      </w:r>
    </w:p>
    <w:p>
      <w:pPr>
        <w:spacing w:after="0" w:line="283" w:lineRule="exact"/>
        <w:rPr>
          <w:sz w:val="20"/>
          <w:szCs w:val="20"/>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or through underwriters or dealers;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to one or more purchasers;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agents;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account;</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exchange distribution in accordance with the rules of the applicable exchange;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transactions through broker-dealers that agree with the selling shareholders to sell a specified number of such securities at a stipulated price per security;</w:t>
      </w:r>
    </w:p>
    <w:p>
      <w:pPr>
        <w:spacing w:after="0" w:line="171"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11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settlement of short sales;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distributions to employees, members, limited partners or shareholders of the selling shareholders;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derivative securities, including without limitation, warrants, subscriptions, exchangeable securities, forward delivery contracts and the writing of options;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pledge to secured debts and other obligations;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combination of any of these methods of sale; or</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method permitted pursuant to applicable law.</w:t>
      </w:r>
    </w:p>
    <w:p>
      <w:pPr>
        <w:spacing w:after="0" w:line="200" w:lineRule="exact"/>
        <w:rPr>
          <w:sz w:val="20"/>
          <w:szCs w:val="20"/>
          <w:color w:val="auto"/>
        </w:rPr>
      </w:pPr>
    </w:p>
    <w:p>
      <w:pPr>
        <w:spacing w:after="0" w:line="293" w:lineRule="exact"/>
        <w:rPr>
          <w:sz w:val="20"/>
          <w:szCs w:val="20"/>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or names of any underwriters, dealers or agents;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public offering or purchase price;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proceeds from such sale;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underwriting discounts or agency fees and other items constituting underwriters’ or agents’ compensation;</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over-allotment options under which underwriters may purchase additional securities;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delayed delivery arrangements;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7" w:name="page38"/>
    <w:bookmarkEnd w:id="37"/>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method of distribution of the securities;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or concessions allowed or reallowed or paid to dealers;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any agreement, arrangement or understanding entered into with the underwriters, brokers or dealers;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securities exchanges on which the securities may be listed;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information we or the selling shareholders think is important.</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or any selling shareholders may distribute the securities from time to time in one or more of the following ways:</w:t>
      </w:r>
    </w:p>
    <w:p>
      <w:pPr>
        <w:spacing w:after="0" w:line="172" w:lineRule="exact"/>
        <w:rPr>
          <w:sz w:val="20"/>
          <w:szCs w:val="20"/>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fixed price or prices, which may be changed;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market prices prevailing at the time of sale, including in “at the market” offerings;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prices relating to such prevailing market prices;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varying prices determined at the time of sale; or</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negotiated prices.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Such distributions may be effected:</w:t>
      </w:r>
    </w:p>
    <w:p>
      <w:pPr>
        <w:spacing w:after="0" w:line="172" w:lineRule="exact"/>
        <w:rPr>
          <w:sz w:val="20"/>
          <w:szCs w:val="20"/>
          <w:color w:val="auto"/>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transactions on any national securities exchange or quotation service on which the securities may be listed or quoted at the time of sale;</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transactions in the over-the-counter market;</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transactions otherwise than on such exchanges or in the over-the-counter market; or</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other types of transactions.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By Agents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We and/or any selling shareholders may designate agents who, unless otherwise indicated in the applicable prospectus supplement, will agree to use their best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By Underwriters or Dealers</w:t>
      </w:r>
    </w:p>
    <w:p>
      <w:pPr>
        <w:spacing w:after="0" w:line="176"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The securities may be offered to the public either through underwriting syndicates represented by one or more managing underwriters or directly by one or more of such firms. If we and/or the selling shareholders use underwriters for the sale of securities, they will acquire securities for their own account. The underwriters may resell the securities from time to time in one or more transactions, including negotiated transactions, at a fixed public offering price or at varying prices determined at the time of sale. Unless otherwise stated in the applicable prospectus supplement, various conditions will apply to the underwriters’ obligation to purchase securities, and the underwriters will be obligated to purchase all of the securities contemplated in an offering if they purchase any of such securities. Any public offering price and any discounts or concessions allowed or reallowed or paid to dealers may be changed from time to time. The underwriter or underwriters with respect to a particular underwritten offering of securities, or, if an underwriting syndicate is used, the managing underwriter or underwriters, will be set forth on the cover of the applicable prospectus supplement.</w:t>
      </w:r>
    </w:p>
    <w:p>
      <w:pPr>
        <w:spacing w:after="0" w:line="134"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color w:val="auto"/>
        </w:rPr>
        <w:t>Direct Sales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and/or the selling shareholders may also sell securities directly without using agents, underwriters, or dealers.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17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and/or the selling shareholders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or the selling shareholders and their affiliates, in the ordinary course of business.</w:t>
      </w:r>
    </w:p>
    <w:p>
      <w:pPr>
        <w:spacing w:after="0" w:line="12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Underwriters, dealers and agents that participate in the distribution of the securities may be underwriters as defined in the Securities Act, and any discounts or commissions received by them from us and/or the selling shareholders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Selling Shareholders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selling shareholders may sell Class A ordinary shares held by the selling shareholders, from time to time, using one or more of the methods described above. There can be no assurance, however, that the selling shareholders will sell any or all of their Class A ordinary shares pursuant to this prospectus.</w:t>
      </w:r>
    </w:p>
    <w:p>
      <w:pPr>
        <w:spacing w:after="0" w:line="11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The aggregate proceeds to the selling shareholders from the sale of the securities offered by them will be the purchase price of the securities less discounts or commissions, if any. The selling shareholders reserve the right to accept and, together with their agents from time to time, to reject, in whole or in part, any proposed purchase of securities to be made directly or through agents. We will not receive any proceeds from the sale of securities by the selling shareholders.</w:t>
      </w:r>
    </w:p>
    <w:p>
      <w:pPr>
        <w:spacing w:after="0" w:line="12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selling shareholders may resell all or a portion of the securities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113"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selling shareholders may, from time to time, pledge or grant a security interest in some or all of the securities owned by them and, if they default in the performance of their secured obligations, the pledgees or secured parties may offer and sell the securities, from time to time, pursuant to this prospectus as supplemented or amended as and if necessary.</w:t>
      </w:r>
    </w:p>
    <w:p>
      <w:pPr>
        <w:spacing w:after="0" w:line="113"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In connection with the sale of our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our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securities offered by this prospectus, which shares such broker-dealer or other financial institution may resell pursuant to this prospectus (as further supplemented or amended to reflect such transaction).</w:t>
      </w:r>
    </w:p>
    <w:p>
      <w:pPr>
        <w:spacing w:after="0" w:line="133"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The selling shareholders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31"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Class A ordinary shares may also be exchanged for satisfaction of selling shareholders’ obligations or other liabilities to their creditors. Such transactions may or may not involve brokers or dealers. In addition, a selling shareholder that is an entity may elect to make an in-kind distribution of securities to its members, partners or shareholders or purchase or redeem interests held in such entity by its members, partners or shareholders in exchange for securities, in each case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our affiliate (or to the extent otherwise required by law), we may file a prospectus supplement in order to permit the distributees to use the prospectus to resell the securities acquired in the distribution.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9" w:name="page40"/>
    <w:bookmarkEnd w:id="39"/>
    <w:p>
      <w:pPr>
        <w:ind w:firstLine="241"/>
        <w:spacing w:after="0" w:line="296" w:lineRule="auto"/>
        <w:rPr>
          <w:sz w:val="20"/>
          <w:szCs w:val="20"/>
          <w:color w:val="auto"/>
        </w:rPr>
      </w:pPr>
      <w:r>
        <w:rPr>
          <w:rFonts w:ascii="Times New Roman" w:cs="Times New Roman" w:eastAsia="Times New Roman" w:hAnsi="Times New Roman"/>
          <w:sz w:val="13"/>
          <w:szCs w:val="13"/>
          <w:color w:val="auto"/>
        </w:rPr>
        <w:t>If indicated in the applicable prospectus supplement, underwriters, brokers, dealers or agents will be authorized to solicit offers by certain institutional investors to purchase securities from the selling shareholders pursuant to contracts providing for payment and delivery at a future date. Institutional investors with which these contracts may be made include, among others:</w:t>
      </w:r>
    </w:p>
    <w:p>
      <w:pPr>
        <w:spacing w:after="0" w:line="113" w:lineRule="exact"/>
        <w:rPr>
          <w:sz w:val="20"/>
          <w:szCs w:val="20"/>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and savings banks;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insurance companies;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pension funds;</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companies;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educational and charitable institutions.</w:t>
      </w:r>
    </w:p>
    <w:p>
      <w:pPr>
        <w:spacing w:after="0" w:line="172"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In all cases, these purchasers must be approved by such selling shareholders.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the selling shareholders must have sold to these underwriters the securities not subject to delayed delivery. Underwriters and other agents will not have any responsibility in respect of the validity or performance of these contracts.</w:t>
      </w:r>
    </w:p>
    <w:p>
      <w:pPr>
        <w:spacing w:after="0" w:line="131"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The selling shareholders may be deemed to be “underwriters” within the meaning of Section 2(a)(11) of the Securities Act. Should the selling shareholders be deemed to be “underwriters,” the selling shareholders would be subject to the prospectus delivery requirements of the Securities Act.</w:t>
      </w:r>
    </w:p>
    <w:p>
      <w:pPr>
        <w:spacing w:after="0" w:line="113"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To the extent required, the shares to be sold, the name of the selling shareholders, the respective purchase prices and public offering prices, the names of any agent,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25"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In order 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13"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31"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We will pay all expenses of the registration of the Class A ordinary shares, including, without limitation, SEC filing fees and expenses of compliance with state securities or “blue sky” laws; provided, however, that the selling shareholders will pay all underwriting discounts and selling commissions, if any, and any related legal expenses incurred by them.</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0" w:name="page41"/>
    <w:bookmarkEnd w:id="40"/>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EXPENSES RELATED TO THE OFFERING</w:t>
      </w:r>
    </w:p>
    <w:p>
      <w:pPr>
        <w:spacing w:after="0" w:line="17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We will incur printing costs, legal fees and expenses, accountants’ fees and expenses, and other listing and qualifications fees in connection with the offering of securities. Expenses of any of the securities offered by this prospectus will be set forth in the applicable prospectus supplement(s) relating to the offering of those securities. We will pay all expenses in connection with the distribution of the ordinary shares being sold by the selling shareholders, except for the underwriting discounts and selling commissions payable by, and all legal fees and expenses of legal counsel for, the selling shareholders, if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6" w:lineRule="exact"/>
        <w:rPr>
          <w:sz w:val="20"/>
          <w:szCs w:val="20"/>
          <w:color w:val="auto"/>
        </w:rPr>
      </w:pPr>
    </w:p>
    <w:p>
      <w:pPr>
        <w:jc w:val="both"/>
        <w:ind w:firstLine="241"/>
        <w:spacing w:after="0" w:line="274" w:lineRule="auto"/>
        <w:rPr>
          <w:sz w:val="20"/>
          <w:szCs w:val="20"/>
          <w:color w:val="auto"/>
        </w:rPr>
      </w:pPr>
      <w:r>
        <w:rPr>
          <w:rFonts w:ascii="Times New Roman" w:cs="Times New Roman" w:eastAsia="Times New Roman" w:hAnsi="Times New Roman"/>
          <w:sz w:val="13"/>
          <w:szCs w:val="13"/>
          <w:color w:val="auto"/>
        </w:rPr>
        <w:t>We are being represented by Han Kun Law Offices LLP with respect to certain legal matters of United States federal securities and New York state law. The validity of the Class A ordinary shares offered in this offering and certain legal matters as to Cayman Islands law will be passed upon for us by Maples and Calder (Hong Kong) LLP. Certain legal matters as to PRC law will be passed upon for us by Hai Run Law Firm. Han Kun Law Offices LLP may rely upon Maples and Calder (Hong Kong) LLP with respect to matters governed by Cayman Islands law and Hai Run Law Firm with respect to matters governed by PRC law.</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6" w:lineRule="exact"/>
        <w:rPr>
          <w:sz w:val="20"/>
          <w:szCs w:val="20"/>
          <w:color w:val="auto"/>
        </w:rPr>
      </w:pPr>
    </w:p>
    <w:p>
      <w:pPr>
        <w:jc w:val="both"/>
        <w:ind w:firstLine="241"/>
        <w:spacing w:after="0" w:line="274" w:lineRule="auto"/>
        <w:rPr>
          <w:sz w:val="20"/>
          <w:szCs w:val="20"/>
          <w:color w:val="auto"/>
        </w:rPr>
      </w:pPr>
      <w:r>
        <w:rPr>
          <w:rFonts w:ascii="Times New Roman" w:cs="Times New Roman" w:eastAsia="Times New Roman" w:hAnsi="Times New Roman"/>
          <w:sz w:val="13"/>
          <w:szCs w:val="13"/>
          <w:color w:val="auto"/>
        </w:rPr>
        <w:t>The consolidated financial statements of AIFU Inc. as of and for the years ended December 31, 2024 and 2025, incorporated in this prospectus by reference to our annual report on Form 20-F for the year ended December 31, 2025, have been audited by Enrome LLP, an independent registered public accounting firm, as stated in their report. Such consolidated financial statements are incorporated herein by reference in reliance upon such report given on the authority of such firm as experts in accounting and auditing. The registered business address of Enrome LLP is 143 Cecil Street, #19-03/04 GB Building Singapore 069542.</w:t>
      </w:r>
    </w:p>
    <w:p>
      <w:pPr>
        <w:spacing w:after="0" w:line="291"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3"/>
          <w:szCs w:val="13"/>
          <w:color w:val="auto"/>
        </w:rPr>
        <w:t>The financial statements of AIFU Inc. for the year ended December 31, 2023 (before the effects of the retrospective adjustments to the financial statements) (not separately presented herein) have been audited by Deloitte Touche Tohmatsu Certified Public Accountants LLP, an independent registered public accounting firm, as stated in their report incorporated by reference in the prospectus. The retrospective adjustments to the 2023 financial statements have been audited by Enrome LLP. Such financial statements are incorporated by reference in reliance upon the respective reports of Deloitte Touche Tohmatsu Certified Public Accountants LLP and Enrome LLP given their authority as experts in auditing and accounting. The office of Deloitte Touche Tohmatsu Certified Public Accountants LLP is located at 9/F China Resources Building, 5001 Shennan Road East, Shenzhen 518010, PRC.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 YOU CAN FIND MORE INFORMATION ABOUT US</w:t>
      </w:r>
    </w:p>
    <w:p>
      <w:pPr>
        <w:spacing w:after="0" w:line="176"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xml:space="preserve">.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You can also find information on our website </w:t>
      </w:r>
      <w:r>
        <w:rPr>
          <w:rFonts w:ascii="Times New Roman" w:cs="Times New Roman" w:eastAsia="Times New Roman" w:hAnsi="Times New Roman"/>
          <w:sz w:val="13"/>
          <w:szCs w:val="13"/>
          <w:i w:val="1"/>
          <w:iCs w:val="1"/>
          <w:color w:val="auto"/>
        </w:rPr>
        <w:t>http://ir.aifugroup.com</w:t>
      </w:r>
      <w:r>
        <w:rPr>
          <w:rFonts w:ascii="Times New Roman" w:cs="Times New Roman" w:eastAsia="Times New Roman" w:hAnsi="Times New Roman"/>
          <w:sz w:val="13"/>
          <w:szCs w:val="13"/>
          <w:color w:val="auto"/>
        </w:rPr>
        <w:t>. The information contained on our websites is not a part of this prospectus.</w:t>
      </w:r>
    </w:p>
    <w:p>
      <w:pPr>
        <w:spacing w:after="0" w:line="134"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3"/>
          <w:szCs w:val="13"/>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DOCUMENTS BY REFERENCE</w:t>
      </w:r>
    </w:p>
    <w:p>
      <w:pPr>
        <w:spacing w:after="0" w:line="176" w:lineRule="exact"/>
        <w:rPr>
          <w:sz w:val="20"/>
          <w:szCs w:val="20"/>
          <w:color w:val="auto"/>
        </w:rPr>
      </w:pPr>
    </w:p>
    <w:p>
      <w:pPr>
        <w:jc w:val="both"/>
        <w:ind w:firstLine="241"/>
        <w:spacing w:after="0" w:line="265" w:lineRule="auto"/>
        <w:rPr>
          <w:sz w:val="20"/>
          <w:szCs w:val="20"/>
          <w:color w:val="auto"/>
        </w:rPr>
      </w:pPr>
      <w:r>
        <w:rPr>
          <w:rFonts w:ascii="Times New Roman" w:cs="Times New Roman" w:eastAsia="Times New Roman" w:hAnsi="Times New Roman"/>
          <w:sz w:val="13"/>
          <w:szCs w:val="13"/>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incorporate by reference the following documents:</w:t>
      </w:r>
    </w:p>
    <w:p>
      <w:pPr>
        <w:spacing w:after="0" w:line="172" w:lineRule="exact"/>
        <w:rPr>
          <w:sz w:val="20"/>
          <w:szCs w:val="20"/>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w:t>
      </w:r>
      <w:hyperlink r:id="rId70">
        <w:r>
          <w:rPr>
            <w:rFonts w:ascii="Times New Roman" w:cs="Times New Roman" w:eastAsia="Times New Roman" w:hAnsi="Times New Roman"/>
            <w:sz w:val="13"/>
            <w:szCs w:val="13"/>
            <w:u w:val="single" w:color="auto"/>
            <w:color w:val="0000EE"/>
          </w:rPr>
          <w:t>Form 20-F</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fiscal year ended December 31, 2025 filed on April 28, 2026;</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current report on </w:t>
      </w:r>
      <w:hyperlink r:id="rId71">
        <w:r>
          <w:rPr>
            <w:rFonts w:ascii="Times New Roman" w:cs="Times New Roman" w:eastAsia="Times New Roman" w:hAnsi="Times New Roman"/>
            <w:sz w:val="13"/>
            <w:szCs w:val="13"/>
            <w:u w:val="single" w:color="auto"/>
            <w:color w:val="0000EE"/>
          </w:rPr>
          <w:t>Form 6-K</w:t>
        </w:r>
      </w:hyperlink>
      <w:r>
        <w:rPr>
          <w:rFonts w:ascii="Times New Roman" w:cs="Times New Roman" w:eastAsia="Times New Roman" w:hAnsi="Times New Roman"/>
          <w:sz w:val="13"/>
          <w:szCs w:val="13"/>
          <w:color w:val="auto"/>
        </w:rPr>
        <w:t>, including the exhibits attached thereto, furnished with the SEC on April 29, 2026;</w:t>
      </w:r>
    </w:p>
    <w:p>
      <w:pPr>
        <w:spacing w:after="0" w:line="171" w:lineRule="exact"/>
        <w:rPr>
          <w:rFonts w:ascii="Times New Roman" w:cs="Times New Roman" w:eastAsia="Times New Roman" w:hAnsi="Times New Roman"/>
          <w:sz w:val="13"/>
          <w:szCs w:val="13"/>
          <w:color w:val="auto"/>
        </w:rPr>
      </w:pPr>
    </w:p>
    <w:p>
      <w:pPr>
        <w:ind w:left="480" w:hanging="239"/>
        <w:spacing w:after="0" w:line="296" w:lineRule="auto"/>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securities contained in the Registration Statement on </w:t>
      </w:r>
      <w:hyperlink r:id="rId72">
        <w:r>
          <w:rPr>
            <w:rFonts w:ascii="Times New Roman" w:cs="Times New Roman" w:eastAsia="Times New Roman" w:hAnsi="Times New Roman"/>
            <w:sz w:val="13"/>
            <w:szCs w:val="13"/>
            <w:u w:val="single" w:color="auto"/>
            <w:color w:val="0000EE"/>
          </w:rPr>
          <w:t>Form 8-A</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filed with the SEC on October 25, 2007, and any other amendment or report filed for the purpose of updating such description;</w:t>
      </w:r>
    </w:p>
    <w:p>
      <w:pPr>
        <w:spacing w:after="0" w:line="113"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annual reports on Form 20-F filed with the SEC after the date of this prospectus and prior to the termination of the offering of the securities offered by this prospectus;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future reports on Form 6-K that we furnish to the SEC after the date of this prospectus that are identified in such reports as being incorporated by reference in this prospectus.</w:t>
      </w:r>
    </w:p>
    <w:p>
      <w:pPr>
        <w:spacing w:after="0" w:line="172" w:lineRule="exact"/>
        <w:rPr>
          <w:rFonts w:ascii="Times New Roman" w:cs="Times New Roman" w:eastAsia="Times New Roman" w:hAnsi="Times New Roman"/>
          <w:sz w:val="13"/>
          <w:szCs w:val="13"/>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Our annual report for the fiscal year ended December 31, 2025 contains a description of our business and audited consolidated financial statements with a report by our independent auditor. The consolidated financial statements are prepared and presented in accordance with U.S. GAAP.</w:t>
      </w:r>
    </w:p>
    <w:p>
      <w:pPr>
        <w:spacing w:after="0" w:line="113" w:lineRule="exact"/>
        <w:rPr>
          <w:rFonts w:ascii="Times New Roman" w:cs="Times New Roman" w:eastAsia="Times New Roman" w:hAnsi="Times New Roman"/>
          <w:sz w:val="13"/>
          <w:szCs w:val="13"/>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25"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AIFU Inc.</w:t>
      </w:r>
    </w:p>
    <w:p>
      <w:pPr>
        <w:spacing w:after="0" w:line="24"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Room 1, Building 10,</w:t>
      </w:r>
    </w:p>
    <w:p>
      <w:pPr>
        <w:spacing w:after="0" w:line="11"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Jinzhong Guobin Hui Qinyuan 2nd Road</w:t>
      </w:r>
    </w:p>
    <w:p>
      <w:pPr>
        <w:spacing w:after="0" w:line="11"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Lihu Community, Xili Street</w:t>
      </w:r>
    </w:p>
    <w:p>
      <w:pPr>
        <w:spacing w:after="0" w:line="11"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Shenzhen, 518055</w:t>
      </w:r>
    </w:p>
    <w:p>
      <w:pPr>
        <w:spacing w:after="0" w:line="11"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11"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+86 755 22671879</w:t>
      </w:r>
    </w:p>
    <w:p>
      <w:pPr>
        <w:spacing w:after="0" w:line="159" w:lineRule="exact"/>
        <w:rPr>
          <w:rFonts w:ascii="Times New Roman" w:cs="Times New Roman" w:eastAsia="Times New Roman" w:hAnsi="Times New Roman"/>
          <w:sz w:val="13"/>
          <w:szCs w:val="13"/>
          <w:color w:val="auto"/>
        </w:rPr>
      </w:pPr>
    </w:p>
    <w:p>
      <w:pPr>
        <w:jc w:val="both"/>
        <w:ind w:firstLine="241"/>
        <w:spacing w:after="0" w:line="289" w:lineRule="auto"/>
        <w:rPr>
          <w:sz w:val="20"/>
          <w:szCs w:val="20"/>
          <w:color w:val="auto"/>
        </w:rPr>
      </w:pPr>
      <w:r>
        <w:rPr>
          <w:rFonts w:ascii="Times New Roman" w:cs="Times New Roman" w:eastAsia="Times New Roman" w:hAnsi="Times New Roman"/>
          <w:sz w:val="13"/>
          <w:szCs w:val="13"/>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3"/>
          <w:szCs w:val="13"/>
          <w:color w:val="auto"/>
        </w:rPr>
      </w:pPr>
    </w:p>
    <w:p>
      <w:pPr>
        <w:spacing w:after="0" w:line="243"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INDEMNIFICATION OF DIRECTORS AND OFFICERS</w:t>
      </w:r>
    </w:p>
    <w:p>
      <w:pPr>
        <w:spacing w:after="0" w:line="176"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3"/>
          <w:szCs w:val="13"/>
          <w:color w:val="auto"/>
        </w:rPr>
        <w:t>The Companies Act of the Cayman Islands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amended and restated memorandum and articles of association provide that that we shall indemnify our directors and officers for the time being and from time to time, against all actions, proceedings, costs, charges, expenses, losses, damages or liabilities incurred or sustained by such persons, other than by reason of such person’s willful neglect or default, in connection with the execution or discharge of his duties, powers, authorities or discretions as a director or officer of the Company, including without prejudice to the generality of the foregoing, any costs, expenses, losses or liabilities incurred by such director or officer in defending (whether successfully or otherwise) any civil proceedings concerning or in any way related to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136" w:lineRule="exact"/>
        <w:rPr>
          <w:sz w:val="20"/>
          <w:szCs w:val="20"/>
          <w:color w:val="auto"/>
        </w:rPr>
      </w:pPr>
    </w:p>
    <w:p>
      <w:pPr>
        <w:jc w:val="both"/>
        <w:ind w:firstLine="241"/>
        <w:spacing w:after="0" w:line="289" w:lineRule="auto"/>
        <w:rPr>
          <w:sz w:val="20"/>
          <w:szCs w:val="20"/>
          <w:color w:val="auto"/>
        </w:rPr>
      </w:pPr>
      <w:r>
        <w:rPr>
          <w:rFonts w:ascii="Times New Roman" w:cs="Times New Roman" w:eastAsia="Times New Roman" w:hAnsi="Times New Roman"/>
          <w:sz w:val="13"/>
          <w:szCs w:val="13"/>
          <w:color w:val="auto"/>
        </w:rPr>
        <w:t>Under the indemnification agreements with our directors and executive officers, the form of which was filed as Exhibit 10.3 to our registration statement on Form F-1, as amended (File No. 333-146605), we have agreed to indemnify our directors and executive officers against certain liabilities and expenses incurred by such persons in connection with claims made by reason of their being such a director or executive officer.</w:t>
      </w:r>
    </w:p>
    <w:p>
      <w:pPr>
        <w:spacing w:after="0" w:line="2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Any underwriting agreement entered into in connection with an offering of our securities may also provide for indemnification of us and our officers and directors in certain cases.</w:t>
      </w:r>
    </w:p>
    <w:p>
      <w:pPr>
        <w:spacing w:after="0" w:line="172"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 EXHIBITS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See Exhibit Index beginning on page II-4 of this registration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UNDERTAKINGS.</w:t>
      </w:r>
    </w:p>
    <w:p>
      <w:pPr>
        <w:spacing w:after="0" w:line="176" w:lineRule="exact"/>
        <w:rPr>
          <w:sz w:val="20"/>
          <w:szCs w:val="20"/>
          <w:color w:val="auto"/>
        </w:rPr>
      </w:pPr>
    </w:p>
    <w:p>
      <w:pPr>
        <w:ind w:left="180" w:hanging="180"/>
        <w:spacing w:after="0"/>
        <w:tabs>
          <w:tab w:leader="none" w:pos="18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w:t>
      </w:r>
    </w:p>
    <w:p>
      <w:pPr>
        <w:spacing w:after="0" w:line="171" w:lineRule="exact"/>
        <w:rPr>
          <w:rFonts w:ascii="Times New Roman" w:cs="Times New Roman" w:eastAsia="Times New Roman" w:hAnsi="Times New Roman"/>
          <w:sz w:val="13"/>
          <w:szCs w:val="13"/>
          <w:color w:val="auto"/>
        </w:rPr>
      </w:pPr>
    </w:p>
    <w:p>
      <w:pPr>
        <w:ind w:left="440" w:hanging="199"/>
        <w:spacing w:after="0"/>
        <w:tabs>
          <w:tab w:leader="none" w:pos="44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3"/>
          <w:szCs w:val="13"/>
          <w:color w:val="auto"/>
        </w:rPr>
      </w:pPr>
    </w:p>
    <w:p>
      <w:pPr>
        <w:ind w:left="640" w:hanging="158"/>
        <w:spacing w:after="0"/>
        <w:tabs>
          <w:tab w:leader="none" w:pos="640" w:val="left"/>
        </w:tabs>
        <w:numPr>
          <w:ilvl w:val="2"/>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w:t>
      </w:r>
    </w:p>
    <w:p>
      <w:pPr>
        <w:spacing w:after="0" w:line="171" w:lineRule="exact"/>
        <w:rPr>
          <w:rFonts w:ascii="Times New Roman" w:cs="Times New Roman" w:eastAsia="Times New Roman" w:hAnsi="Times New Roman"/>
          <w:sz w:val="13"/>
          <w:szCs w:val="13"/>
          <w:color w:val="auto"/>
        </w:rPr>
      </w:pPr>
    </w:p>
    <w:p>
      <w:pPr>
        <w:ind w:left="240" w:firstLine="242"/>
        <w:spacing w:after="0" w:line="296" w:lineRule="auto"/>
        <w:tabs>
          <w:tab w:leader="none" w:pos="694" w:val="left"/>
        </w:tabs>
        <w:numPr>
          <w:ilvl w:val="2"/>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3" w:name="page44"/>
    <w:bookmarkEnd w:id="43"/>
    <w:p>
      <w:pPr>
        <w:jc w:val="both"/>
        <w:ind w:left="240" w:firstLine="242"/>
        <w:spacing w:after="0" w:line="277" w:lineRule="auto"/>
        <w:tabs>
          <w:tab w:leader="none" w:pos="71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25" w:lineRule="exact"/>
        <w:rPr>
          <w:rFonts w:ascii="Times New Roman" w:cs="Times New Roman" w:eastAsia="Times New Roman" w:hAnsi="Times New Roman"/>
          <w:sz w:val="13"/>
          <w:szCs w:val="13"/>
          <w:color w:val="auto"/>
        </w:rPr>
      </w:pPr>
    </w:p>
    <w:p>
      <w:pPr>
        <w:ind w:left="240" w:firstLine="271"/>
        <w:spacing w:after="0" w:line="268" w:lineRule="auto"/>
        <w:tabs>
          <w:tab w:leader="none" w:pos="749"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3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paragraphs (a)(1)(i), (a)(1)(ii) and (a)(1)(iii) of this item do not apply if the information required to be included in a post-effective amendment by those paragraphs is contained in periodic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25" w:lineRule="exact"/>
        <w:rPr>
          <w:sz w:val="20"/>
          <w:szCs w:val="20"/>
          <w:color w:val="auto"/>
        </w:rPr>
      </w:pPr>
    </w:p>
    <w:p>
      <w:pPr>
        <w:ind w:firstLine="241"/>
        <w:spacing w:after="0" w:line="296" w:lineRule="auto"/>
        <w:tabs>
          <w:tab w:leader="none" w:pos="44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Times New Roman" w:cs="Times New Roman" w:eastAsia="Times New Roman" w:hAnsi="Times New Roman"/>
          <w:sz w:val="13"/>
          <w:szCs w:val="13"/>
          <w:color w:val="auto"/>
        </w:rPr>
      </w:pPr>
    </w:p>
    <w:p>
      <w:pPr>
        <w:ind w:left="440" w:hanging="199"/>
        <w:spacing w:after="0"/>
        <w:tabs>
          <w:tab w:leader="none" w:pos="4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171" w:lineRule="exact"/>
        <w:rPr>
          <w:rFonts w:ascii="Times New Roman" w:cs="Times New Roman" w:eastAsia="Times New Roman" w:hAnsi="Times New Roman"/>
          <w:sz w:val="13"/>
          <w:szCs w:val="13"/>
          <w:color w:val="auto"/>
        </w:rPr>
      </w:pPr>
    </w:p>
    <w:p>
      <w:pPr>
        <w:jc w:val="both"/>
        <w:ind w:firstLine="241"/>
        <w:spacing w:after="0" w:line="265" w:lineRule="auto"/>
        <w:tabs>
          <w:tab w:leader="none" w:pos="439"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34" w:lineRule="exact"/>
        <w:rPr>
          <w:rFonts w:ascii="Times New Roman" w:cs="Times New Roman" w:eastAsia="Times New Roman" w:hAnsi="Times New Roman"/>
          <w:sz w:val="13"/>
          <w:szCs w:val="13"/>
          <w:color w:val="auto"/>
        </w:rPr>
      </w:pPr>
    </w:p>
    <w:p>
      <w:pPr>
        <w:ind w:left="440" w:hanging="199"/>
        <w:spacing w:after="0"/>
        <w:tabs>
          <w:tab w:leader="none" w:pos="4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w:t>
      </w:r>
    </w:p>
    <w:p>
      <w:pPr>
        <w:spacing w:after="0" w:line="171" w:lineRule="exact"/>
        <w:rPr>
          <w:rFonts w:ascii="Times New Roman" w:cs="Times New Roman" w:eastAsia="Times New Roman" w:hAnsi="Times New Roman"/>
          <w:sz w:val="13"/>
          <w:szCs w:val="13"/>
          <w:color w:val="auto"/>
        </w:rPr>
      </w:pPr>
    </w:p>
    <w:p>
      <w:pPr>
        <w:ind w:left="240" w:firstLine="242"/>
        <w:spacing w:after="0" w:line="296" w:lineRule="auto"/>
        <w:tabs>
          <w:tab w:leader="none" w:pos="646"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3" w:lineRule="exact"/>
        <w:rPr>
          <w:rFonts w:ascii="Times New Roman" w:cs="Times New Roman" w:eastAsia="Times New Roman" w:hAnsi="Times New Roman"/>
          <w:sz w:val="13"/>
          <w:szCs w:val="13"/>
          <w:color w:val="auto"/>
        </w:rPr>
      </w:pPr>
    </w:p>
    <w:p>
      <w:pPr>
        <w:jc w:val="both"/>
        <w:ind w:left="240" w:firstLine="242"/>
        <w:spacing w:after="0" w:line="263" w:lineRule="auto"/>
        <w:tabs>
          <w:tab w:leader="none" w:pos="678"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4" w:name="page45"/>
    <w:bookmarkEnd w:id="44"/>
    <w:p>
      <w:pPr>
        <w:ind w:left="240"/>
        <w:spacing w:after="0"/>
        <w:rPr>
          <w:sz w:val="20"/>
          <w:szCs w:val="20"/>
          <w:color w:val="auto"/>
        </w:rPr>
      </w:pPr>
      <w:r>
        <w:rPr>
          <w:rFonts w:ascii="Times New Roman" w:cs="Times New Roman" w:eastAsia="Times New Roman" w:hAnsi="Times New Roman"/>
          <w:sz w:val="13"/>
          <w:szCs w:val="13"/>
          <w:color w:val="auto"/>
        </w:rPr>
        <w:t>(6) That, for the purpose of determining liability of the registrant under the Securities Act to any purchaser in the initial distribution of the securities:</w:t>
      </w:r>
    </w:p>
    <w:p>
      <w:pPr>
        <w:spacing w:after="0" w:line="172"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3"/>
          <w:szCs w:val="13"/>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5" w:lineRule="exact"/>
        <w:rPr>
          <w:sz w:val="20"/>
          <w:szCs w:val="20"/>
          <w:color w:val="auto"/>
        </w:rPr>
      </w:pPr>
    </w:p>
    <w:p>
      <w:pPr>
        <w:ind w:left="640" w:hanging="158"/>
        <w:spacing w:after="0"/>
        <w:tabs>
          <w:tab w:leader="none" w:pos="64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3"/>
          <w:szCs w:val="13"/>
          <w:color w:val="auto"/>
        </w:rPr>
      </w:pPr>
    </w:p>
    <w:p>
      <w:pPr>
        <w:ind w:left="680" w:hanging="198"/>
        <w:spacing w:after="0"/>
        <w:tabs>
          <w:tab w:leader="none" w:pos="68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171" w:lineRule="exact"/>
        <w:rPr>
          <w:rFonts w:ascii="Times New Roman" w:cs="Times New Roman" w:eastAsia="Times New Roman" w:hAnsi="Times New Roman"/>
          <w:sz w:val="13"/>
          <w:szCs w:val="13"/>
          <w:color w:val="auto"/>
        </w:rPr>
      </w:pPr>
    </w:p>
    <w:p>
      <w:pPr>
        <w:ind w:left="240" w:firstLine="242"/>
        <w:spacing w:after="0" w:line="296" w:lineRule="auto"/>
        <w:tabs>
          <w:tab w:leader="none" w:pos="716"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3" w:lineRule="exact"/>
        <w:rPr>
          <w:rFonts w:ascii="Times New Roman" w:cs="Times New Roman" w:eastAsia="Times New Roman" w:hAnsi="Times New Roman"/>
          <w:sz w:val="13"/>
          <w:szCs w:val="13"/>
          <w:color w:val="auto"/>
        </w:rPr>
      </w:pPr>
    </w:p>
    <w:p>
      <w:pPr>
        <w:ind w:left="700" w:hanging="218"/>
        <w:spacing w:after="0"/>
        <w:tabs>
          <w:tab w:leader="none" w:pos="70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3"/>
          <w:szCs w:val="13"/>
          <w:color w:val="auto"/>
        </w:rPr>
      </w:pPr>
    </w:p>
    <w:p>
      <w:pPr>
        <w:jc w:val="both"/>
        <w:spacing w:after="0" w:line="277" w:lineRule="auto"/>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3"/>
          <w:szCs w:val="13"/>
          <w:color w:val="auto"/>
        </w:rPr>
      </w:pPr>
    </w:p>
    <w:p>
      <w:pPr>
        <w:jc w:val="both"/>
        <w:spacing w:after="0" w:line="265" w:lineRule="auto"/>
        <w:tabs>
          <w:tab w:leader="none" w:pos="18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7"/>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305"/>
        </w:trPr>
        <w:tc>
          <w:tcPr>
            <w:tcW w:w="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8"/>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Borders>
              <w:bottom w:val="single" w:sz="8" w:color="CCEEFF"/>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right w:val="single" w:sz="8" w:color="CCEEFF"/>
            </w:tcBorders>
            <w:shd w:val="clear" w:color="auto" w:fill="CCEEFF"/>
          </w:tcPr>
          <w:p>
            <w:pPr>
              <w:spacing w:after="0"/>
              <w:rPr>
                <w:sz w:val="13"/>
                <w:szCs w:val="13"/>
                <w:color w:val="auto"/>
              </w:rPr>
            </w:pPr>
          </w:p>
        </w:tc>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Form of Underwriting Agreement</w:t>
            </w:r>
          </w:p>
        </w:tc>
      </w:tr>
      <w:tr>
        <w:trPr>
          <w:trHeight w:val="131"/>
        </w:trPr>
        <w:tc>
          <w:tcPr>
            <w:tcW w:w="9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1"/>
                <w:szCs w:val="11"/>
                <w:color w:val="auto"/>
              </w:rPr>
            </w:pPr>
          </w:p>
        </w:tc>
        <w:tc>
          <w:tcPr>
            <w:tcW w:w="10240" w:type="dxa"/>
            <w:vAlign w:val="bottom"/>
            <w:gridSpan w:val="11"/>
          </w:tcPr>
          <w:p>
            <w:pPr>
              <w:spacing w:after="0" w:line="131" w:lineRule="exact"/>
              <w:rPr>
                <w:sz w:val="20"/>
                <w:szCs w:val="20"/>
                <w:color w:val="auto"/>
              </w:rPr>
            </w:pPr>
            <w:r>
              <w:rPr>
                <w:rFonts w:ascii="Times New Roman" w:cs="Times New Roman" w:eastAsia="Times New Roman" w:hAnsi="Times New Roman"/>
                <w:sz w:val="13"/>
                <w:szCs w:val="13"/>
                <w:color w:val="0000EE"/>
              </w:rPr>
              <w:t>Amended and Restated Memorandum and Articles of Association of the Registrant, adopted on April 29, 2026 and effective on May 13, 2026</w:t>
            </w:r>
          </w:p>
        </w:tc>
      </w:tr>
      <w:tr>
        <w:trPr>
          <w:trHeight w:val="25"/>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36"/>
        </w:trPr>
        <w:tc>
          <w:tcPr>
            <w:tcW w:w="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Borders>
              <w:right w:val="single" w:sz="8" w:color="CCEEFF"/>
            </w:tcBorders>
            <w:shd w:val="clear" w:color="auto" w:fill="CCEEFF"/>
          </w:tcPr>
          <w:p>
            <w:pPr>
              <w:spacing w:after="0"/>
              <w:rPr>
                <w:sz w:val="11"/>
                <w:szCs w:val="11"/>
                <w:color w:val="auto"/>
              </w:rPr>
            </w:pPr>
          </w:p>
        </w:tc>
        <w:tc>
          <w:tcPr>
            <w:tcW w:w="10240" w:type="dxa"/>
            <w:vAlign w:val="bottom"/>
            <w:gridSpan w:val="11"/>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Registrant’s Specimen Certificate for Class A Ordinary Shares</w:t>
            </w:r>
          </w:p>
        </w:tc>
      </w:tr>
      <w:tr>
        <w:trPr>
          <w:trHeight w:val="30"/>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r>
        <w:trPr>
          <w:trHeight w:val="131"/>
        </w:trPr>
        <w:tc>
          <w:tcPr>
            <w:tcW w:w="9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1"/>
                <w:szCs w:val="11"/>
                <w:color w:val="auto"/>
              </w:rPr>
            </w:pPr>
          </w:p>
        </w:tc>
        <w:tc>
          <w:tcPr>
            <w:tcW w:w="10240" w:type="dxa"/>
            <w:vAlign w:val="bottom"/>
            <w:tcBorders>
              <w:bottom w:val="single" w:sz="8" w:color="0000EE"/>
            </w:tcBorders>
            <w:gridSpan w:val="11"/>
          </w:tcPr>
          <w:p>
            <w:pPr>
              <w:spacing w:after="0" w:line="131" w:lineRule="exact"/>
              <w:rPr>
                <w:rFonts w:ascii="Times New Roman" w:cs="Times New Roman" w:eastAsia="Times New Roman" w:hAnsi="Times New Roman"/>
                <w:sz w:val="13"/>
                <w:szCs w:val="13"/>
                <w:color w:val="0000EE"/>
              </w:rPr>
            </w:pPr>
            <w:hyperlink r:id="rId77">
              <w:r>
                <w:rPr>
                  <w:rFonts w:ascii="Times New Roman" w:cs="Times New Roman" w:eastAsia="Times New Roman" w:hAnsi="Times New Roman"/>
                  <w:sz w:val="13"/>
                  <w:szCs w:val="13"/>
                  <w:color w:val="0000EE"/>
                </w:rPr>
                <w:t>Form of Transaction Agreement between AIFU Inc. and YS Management Company Limited and Ethereal Group Ltd, dated December 12, 2025 (incorporated by reference to Exhibit 10.1 to</w:t>
              </w:r>
            </w:hyperlink>
          </w:p>
        </w:tc>
      </w:tr>
      <w:tr>
        <w:trPr>
          <w:trHeight w:val="141"/>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40" w:type="dxa"/>
            <w:vAlign w:val="bottom"/>
            <w:gridSpan w:val="11"/>
          </w:tcPr>
          <w:p>
            <w:pPr>
              <w:spacing w:after="0" w:line="141" w:lineRule="exact"/>
              <w:rPr>
                <w:rFonts w:ascii="Times New Roman" w:cs="Times New Roman" w:eastAsia="Times New Roman" w:hAnsi="Times New Roman"/>
                <w:sz w:val="13"/>
                <w:szCs w:val="13"/>
                <w:color w:val="0000EE"/>
              </w:rPr>
            </w:pPr>
            <w:hyperlink r:id="rId77">
              <w:r>
                <w:rPr>
                  <w:rFonts w:ascii="Times New Roman" w:cs="Times New Roman" w:eastAsia="Times New Roman" w:hAnsi="Times New Roman"/>
                  <w:sz w:val="13"/>
                  <w:szCs w:val="13"/>
                  <w:color w:val="0000EE"/>
                </w:rPr>
                <w:t>the report on Form 6-K furnished to the Securities and Exchange Commission on December 12, 2025)</w:t>
              </w:r>
            </w:hyperlink>
          </w:p>
        </w:tc>
      </w:tr>
      <w:tr>
        <w:trPr>
          <w:trHeight w:val="25"/>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36"/>
        </w:trPr>
        <w:tc>
          <w:tcPr>
            <w:tcW w:w="900" w:type="dxa"/>
            <w:vAlign w:val="bottom"/>
            <w:tcBorders>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4.3</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240" w:type="dxa"/>
            <w:vAlign w:val="bottom"/>
            <w:tcBorders>
              <w:bottom w:val="single" w:sz="8" w:color="0000EE"/>
            </w:tcBorders>
            <w:gridSpan w:val="11"/>
            <w:shd w:val="clear" w:color="auto" w:fill="CCEEFF"/>
          </w:tcPr>
          <w:p>
            <w:pPr>
              <w:spacing w:after="0" w:line="136" w:lineRule="exact"/>
              <w:rPr>
                <w:rFonts w:ascii="Times New Roman" w:cs="Times New Roman" w:eastAsia="Times New Roman" w:hAnsi="Times New Roman"/>
                <w:sz w:val="13"/>
                <w:szCs w:val="13"/>
                <w:color w:val="0000EE"/>
              </w:rPr>
            </w:pPr>
            <w:hyperlink r:id="rId78">
              <w:r>
                <w:rPr>
                  <w:rFonts w:ascii="Times New Roman" w:cs="Times New Roman" w:eastAsia="Times New Roman" w:hAnsi="Times New Roman"/>
                  <w:sz w:val="13"/>
                  <w:szCs w:val="13"/>
                  <w:color w:val="0000EE"/>
                </w:rPr>
                <w:t>Share Subscription Agreement between AIFU Inc. and Infinew Limited, dated December 30, 2024 (incorporated by reference to Exhibit 10.2 to the report on Form 6-K furnished to the</w:t>
              </w:r>
            </w:hyperlink>
          </w:p>
        </w:tc>
      </w:tr>
      <w:tr>
        <w:trPr>
          <w:trHeight w:val="141"/>
        </w:trPr>
        <w:tc>
          <w:tcPr>
            <w:tcW w:w="9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40" w:type="dxa"/>
            <w:vAlign w:val="bottom"/>
            <w:gridSpan w:val="11"/>
            <w:shd w:val="clear" w:color="auto" w:fill="CCEEFF"/>
          </w:tcPr>
          <w:p>
            <w:pPr>
              <w:spacing w:after="0" w:line="141" w:lineRule="exact"/>
              <w:rPr>
                <w:rFonts w:ascii="Times New Roman" w:cs="Times New Roman" w:eastAsia="Times New Roman" w:hAnsi="Times New Roman"/>
                <w:sz w:val="13"/>
                <w:szCs w:val="13"/>
                <w:color w:val="0000EE"/>
              </w:rPr>
            </w:pPr>
            <w:hyperlink r:id="rId78">
              <w:r>
                <w:rPr>
                  <w:rFonts w:ascii="Times New Roman" w:cs="Times New Roman" w:eastAsia="Times New Roman" w:hAnsi="Times New Roman"/>
                  <w:sz w:val="13"/>
                  <w:szCs w:val="13"/>
                  <w:color w:val="0000EE"/>
                </w:rPr>
                <w:t>Securities and Exchange Commission on January 2, 2025)</w:t>
              </w:r>
            </w:hyperlink>
          </w:p>
        </w:tc>
      </w:tr>
      <w:tr>
        <w:trPr>
          <w:trHeight w:val="30"/>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140" w:type="dxa"/>
            <w:vAlign w:val="bottom"/>
          </w:tcPr>
          <w:p>
            <w:pPr>
              <w:spacing w:after="0"/>
              <w:rPr>
                <w:sz w:val="13"/>
                <w:szCs w:val="13"/>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Certificate of Designation for Preferred Shares</w:t>
            </w:r>
          </w:p>
        </w:tc>
      </w:tr>
      <w:tr>
        <w:trPr>
          <w:trHeight w:val="16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Borders>
              <w:right w:val="single" w:sz="8" w:color="CCEEFF"/>
            </w:tcBorders>
            <w:shd w:val="clear" w:color="auto" w:fill="CCEEFF"/>
          </w:tcPr>
          <w:p>
            <w:pPr>
              <w:spacing w:after="0"/>
              <w:rPr>
                <w:sz w:val="13"/>
                <w:szCs w:val="13"/>
                <w:color w:val="auto"/>
              </w:rPr>
            </w:pPr>
          </w:p>
        </w:tc>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Registrant’s Specimen of Warrant Certificate</w:t>
            </w:r>
          </w:p>
        </w:tc>
      </w:t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3"/>
                <w:szCs w:val="13"/>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Form of Warrant Agreement</w:t>
            </w:r>
          </w:p>
        </w:tc>
      </w:tr>
      <w:tr>
        <w:trPr>
          <w:trHeight w:val="16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Borders>
              <w:right w:val="single" w:sz="8" w:color="CCEEFF"/>
            </w:tcBorders>
            <w:shd w:val="clear" w:color="auto" w:fill="CCEEFF"/>
          </w:tcPr>
          <w:p>
            <w:pPr>
              <w:spacing w:after="0"/>
              <w:rPr>
                <w:sz w:val="13"/>
                <w:szCs w:val="13"/>
                <w:color w:val="auto"/>
              </w:rPr>
            </w:pPr>
          </w:p>
        </w:tc>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Form of Subscription Rights Agreement</w:t>
            </w:r>
          </w:p>
        </w:tc>
      </w:t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3"/>
                <w:szCs w:val="13"/>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Form of Subscription Rights Certificate</w:t>
            </w:r>
          </w:p>
        </w:tc>
      </w:tr>
      <w:tr>
        <w:trPr>
          <w:trHeight w:val="16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tcBorders>
              <w:right w:val="single" w:sz="8" w:color="CCEEFF"/>
            </w:tcBorders>
            <w:shd w:val="clear" w:color="auto" w:fill="CCEEFF"/>
          </w:tcPr>
          <w:p>
            <w:pPr>
              <w:spacing w:after="0"/>
              <w:rPr>
                <w:sz w:val="13"/>
                <w:szCs w:val="13"/>
                <w:color w:val="auto"/>
              </w:rPr>
            </w:pPr>
          </w:p>
        </w:tc>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Specimen Unit Certificate</w:t>
            </w:r>
          </w:p>
        </w:tc>
      </w:tr>
      <w:tr>
        <w:trPr>
          <w:trHeight w:val="131"/>
        </w:trPr>
        <w:tc>
          <w:tcPr>
            <w:tcW w:w="9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5.1</w:t>
            </w:r>
          </w:p>
        </w:tc>
        <w:tc>
          <w:tcPr>
            <w:tcW w:w="140" w:type="dxa"/>
            <w:vAlign w:val="bottom"/>
          </w:tcPr>
          <w:p>
            <w:pPr>
              <w:spacing w:after="0"/>
              <w:rPr>
                <w:sz w:val="11"/>
                <w:szCs w:val="11"/>
                <w:color w:val="auto"/>
              </w:rPr>
            </w:pPr>
          </w:p>
        </w:tc>
        <w:tc>
          <w:tcPr>
            <w:tcW w:w="10240" w:type="dxa"/>
            <w:vAlign w:val="bottom"/>
            <w:gridSpan w:val="11"/>
          </w:tcPr>
          <w:p>
            <w:pPr>
              <w:spacing w:after="0" w:line="131" w:lineRule="exact"/>
              <w:rPr>
                <w:sz w:val="20"/>
                <w:szCs w:val="20"/>
                <w:color w:val="auto"/>
              </w:rPr>
            </w:pPr>
            <w:r>
              <w:rPr>
                <w:rFonts w:ascii="Times New Roman" w:cs="Times New Roman" w:eastAsia="Times New Roman" w:hAnsi="Times New Roman"/>
                <w:sz w:val="13"/>
                <w:szCs w:val="13"/>
                <w:color w:val="0000EE"/>
              </w:rPr>
              <w:t>Opinion of Maples and Calder (Hong Kong) LLP regarding the validity of the securities being registered and certain Cayman Islands legal matters</w:t>
            </w:r>
          </w:p>
        </w:tc>
      </w:tr>
      <w:tr>
        <w:trPr>
          <w:trHeight w:val="25"/>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400" w:type="dxa"/>
            <w:vAlign w:val="bottom"/>
          </w:tcPr>
          <w:p>
            <w:pPr>
              <w:spacing w:after="0"/>
              <w:rPr>
                <w:sz w:val="2"/>
                <w:szCs w:val="2"/>
                <w:color w:val="auto"/>
              </w:rPr>
            </w:pPr>
          </w:p>
        </w:tc>
      </w:tr>
      <w:tr>
        <w:trPr>
          <w:trHeight w:val="136"/>
        </w:trPr>
        <w:tc>
          <w:tcPr>
            <w:tcW w:w="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8.1</w:t>
            </w:r>
          </w:p>
        </w:tc>
        <w:tc>
          <w:tcPr>
            <w:tcW w:w="140" w:type="dxa"/>
            <w:vAlign w:val="bottom"/>
            <w:tcBorders>
              <w:right w:val="single" w:sz="8" w:color="CCEEFF"/>
            </w:tcBorders>
            <w:shd w:val="clear" w:color="auto" w:fill="CCEEFF"/>
          </w:tcPr>
          <w:p>
            <w:pPr>
              <w:spacing w:after="0"/>
              <w:rPr>
                <w:sz w:val="11"/>
                <w:szCs w:val="11"/>
                <w:color w:val="auto"/>
              </w:rPr>
            </w:pPr>
          </w:p>
        </w:tc>
        <w:tc>
          <w:tcPr>
            <w:tcW w:w="10240" w:type="dxa"/>
            <w:vAlign w:val="bottom"/>
            <w:gridSpan w:val="11"/>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Opinion of Hai Run Law Firm regarding certain PRC law matters</w:t>
            </w:r>
          </w:p>
        </w:tc>
      </w:tr>
      <w:tr>
        <w:trPr>
          <w:trHeight w:val="30"/>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r>
        <w:trPr>
          <w:trHeight w:val="131"/>
        </w:trPr>
        <w:tc>
          <w:tcPr>
            <w:tcW w:w="9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23.1</w:t>
            </w:r>
          </w:p>
        </w:tc>
        <w:tc>
          <w:tcPr>
            <w:tcW w:w="140" w:type="dxa"/>
            <w:vAlign w:val="bottom"/>
          </w:tcPr>
          <w:p>
            <w:pPr>
              <w:spacing w:after="0"/>
              <w:rPr>
                <w:sz w:val="11"/>
                <w:szCs w:val="11"/>
                <w:color w:val="auto"/>
              </w:rPr>
            </w:pPr>
          </w:p>
        </w:tc>
        <w:tc>
          <w:tcPr>
            <w:tcW w:w="10240" w:type="dxa"/>
            <w:vAlign w:val="bottom"/>
            <w:gridSpan w:val="11"/>
          </w:tcPr>
          <w:p>
            <w:pPr>
              <w:spacing w:after="0" w:line="131" w:lineRule="exact"/>
              <w:rPr>
                <w:sz w:val="20"/>
                <w:szCs w:val="20"/>
                <w:color w:val="auto"/>
              </w:rPr>
            </w:pPr>
            <w:r>
              <w:rPr>
                <w:rFonts w:ascii="Times New Roman" w:cs="Times New Roman" w:eastAsia="Times New Roman" w:hAnsi="Times New Roman"/>
                <w:sz w:val="13"/>
                <w:szCs w:val="13"/>
                <w:color w:val="0000EE"/>
              </w:rPr>
              <w:t>Consent of Enrome LLP, an independent registered public accounting firm</w:t>
            </w:r>
          </w:p>
        </w:tc>
      </w:tr>
      <w:tr>
        <w:trPr>
          <w:trHeight w:val="25"/>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36"/>
        </w:trPr>
        <w:tc>
          <w:tcPr>
            <w:tcW w:w="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23.2</w:t>
            </w:r>
          </w:p>
        </w:tc>
        <w:tc>
          <w:tcPr>
            <w:tcW w:w="140" w:type="dxa"/>
            <w:vAlign w:val="bottom"/>
            <w:tcBorders>
              <w:right w:val="single" w:sz="8" w:color="CCEEFF"/>
            </w:tcBorders>
            <w:shd w:val="clear" w:color="auto" w:fill="CCEEFF"/>
          </w:tcPr>
          <w:p>
            <w:pPr>
              <w:spacing w:after="0"/>
              <w:rPr>
                <w:sz w:val="11"/>
                <w:szCs w:val="11"/>
                <w:color w:val="auto"/>
              </w:rPr>
            </w:pPr>
          </w:p>
        </w:tc>
        <w:tc>
          <w:tcPr>
            <w:tcW w:w="10240" w:type="dxa"/>
            <w:vAlign w:val="bottom"/>
            <w:gridSpan w:val="11"/>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Consent of Deloitte Touche Tohmatsu Certified Public Accountants LLP, an independent registered public accounting firm</w:t>
            </w:r>
          </w:p>
        </w:tc>
      </w:tr>
      <w:tr>
        <w:trPr>
          <w:trHeight w:val="30"/>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r>
        <w:trPr>
          <w:trHeight w:val="131"/>
        </w:trPr>
        <w:tc>
          <w:tcPr>
            <w:tcW w:w="9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23.3</w:t>
            </w:r>
          </w:p>
        </w:tc>
        <w:tc>
          <w:tcPr>
            <w:tcW w:w="140" w:type="dxa"/>
            <w:vAlign w:val="bottom"/>
          </w:tcPr>
          <w:p>
            <w:pPr>
              <w:spacing w:after="0"/>
              <w:rPr>
                <w:sz w:val="11"/>
                <w:szCs w:val="11"/>
                <w:color w:val="auto"/>
              </w:rPr>
            </w:pPr>
          </w:p>
        </w:tc>
        <w:tc>
          <w:tcPr>
            <w:tcW w:w="10240" w:type="dxa"/>
            <w:vAlign w:val="bottom"/>
            <w:gridSpan w:val="11"/>
          </w:tcPr>
          <w:p>
            <w:pPr>
              <w:spacing w:after="0" w:line="131" w:lineRule="exact"/>
              <w:rPr>
                <w:sz w:val="20"/>
                <w:szCs w:val="20"/>
                <w:color w:val="auto"/>
              </w:rPr>
            </w:pPr>
            <w:r>
              <w:rPr>
                <w:rFonts w:ascii="Times New Roman" w:cs="Times New Roman" w:eastAsia="Times New Roman" w:hAnsi="Times New Roman"/>
                <w:sz w:val="13"/>
                <w:szCs w:val="13"/>
                <w:color w:val="0000EE"/>
              </w:rPr>
              <w:t>Consent of Maples and Calder (Hong Kong) LLP (included in Exhibit 5.1)</w:t>
            </w:r>
          </w:p>
        </w:tc>
      </w:tr>
      <w:tr>
        <w:trPr>
          <w:trHeight w:val="25"/>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36"/>
        </w:trPr>
        <w:tc>
          <w:tcPr>
            <w:tcW w:w="9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23.4</w:t>
            </w:r>
          </w:p>
        </w:tc>
        <w:tc>
          <w:tcPr>
            <w:tcW w:w="140" w:type="dxa"/>
            <w:vAlign w:val="bottom"/>
            <w:tcBorders>
              <w:right w:val="single" w:sz="8" w:color="CCEEFF"/>
            </w:tcBorders>
            <w:shd w:val="clear" w:color="auto" w:fill="CCEEFF"/>
          </w:tcPr>
          <w:p>
            <w:pPr>
              <w:spacing w:after="0"/>
              <w:rPr>
                <w:sz w:val="11"/>
                <w:szCs w:val="11"/>
                <w:color w:val="auto"/>
              </w:rPr>
            </w:pPr>
          </w:p>
        </w:tc>
        <w:tc>
          <w:tcPr>
            <w:tcW w:w="10240" w:type="dxa"/>
            <w:vAlign w:val="bottom"/>
            <w:gridSpan w:val="11"/>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0000EE"/>
              </w:rPr>
              <w:t>Consent of Hai Run Law Firm (included in Exhibit 8.1)</w:t>
            </w:r>
          </w:p>
        </w:tc>
      </w:tr>
      <w:tr>
        <w:trPr>
          <w:trHeight w:val="30"/>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r>
        <w:trPr>
          <w:trHeight w:val="131"/>
        </w:trPr>
        <w:tc>
          <w:tcPr>
            <w:tcW w:w="9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24.1</w:t>
            </w:r>
          </w:p>
        </w:tc>
        <w:tc>
          <w:tcPr>
            <w:tcW w:w="140" w:type="dxa"/>
            <w:vAlign w:val="bottom"/>
          </w:tcPr>
          <w:p>
            <w:pPr>
              <w:spacing w:after="0"/>
              <w:rPr>
                <w:sz w:val="11"/>
                <w:szCs w:val="11"/>
                <w:color w:val="auto"/>
              </w:rPr>
            </w:pPr>
          </w:p>
        </w:tc>
        <w:tc>
          <w:tcPr>
            <w:tcW w:w="2880" w:type="dxa"/>
            <w:vAlign w:val="bottom"/>
            <w:tcBorders>
              <w:bottom w:val="single" w:sz="8" w:color="0000EE"/>
            </w:tcBorders>
          </w:tcPr>
          <w:p>
            <w:pPr>
              <w:spacing w:after="0" w:line="131" w:lineRule="exact"/>
              <w:rPr>
                <w:sz w:val="20"/>
                <w:szCs w:val="20"/>
                <w:color w:val="auto"/>
              </w:rPr>
            </w:pPr>
            <w:r>
              <w:rPr>
                <w:rFonts w:ascii="Times New Roman" w:cs="Times New Roman" w:eastAsia="Times New Roman" w:hAnsi="Times New Roman"/>
                <w:sz w:val="13"/>
                <w:szCs w:val="13"/>
                <w:color w:val="0000EE"/>
              </w:rPr>
              <w:t>Power of attorney (included on signature page hereof)</w:t>
            </w:r>
          </w:p>
        </w:tc>
        <w:tc>
          <w:tcPr>
            <w:tcW w:w="7360" w:type="dxa"/>
            <w:vAlign w:val="bottom"/>
            <w:gridSpan w:val="10"/>
          </w:tcPr>
          <w:p>
            <w:pPr>
              <w:spacing w:after="0"/>
              <w:rPr>
                <w:sz w:val="11"/>
                <w:szCs w:val="11"/>
                <w:color w:val="auto"/>
              </w:rPr>
            </w:pPr>
          </w:p>
        </w:tc>
      </w:tr>
    </w:tbl>
    <w:p>
      <w:pPr>
        <w:spacing w:after="0" w:line="7" w:lineRule="exact"/>
        <w:rPr>
          <w:sz w:val="20"/>
          <w:szCs w:val="20"/>
          <w:color w:val="auto"/>
        </w:rPr>
      </w:pPr>
    </w:p>
    <w:p>
      <w:pPr>
        <w:ind w:left="1020" w:hanging="1020"/>
        <w:spacing w:after="0"/>
        <w:tabs>
          <w:tab w:leader="none" w:pos="10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EE"/>
        </w:rPr>
        <w:t>Calculation of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67245" cy="102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67245" cy="102235"/>
                    </a:xfrm>
                    <a:prstGeom prst="rect">
                      <a:avLst/>
                    </a:prstGeom>
                    <a:noFill/>
                  </pic:spPr>
                </pic:pic>
              </a:graphicData>
            </a:graphic>
          </wp:anchor>
        </w:drawing>
      </w:r>
    </w:p>
    <w:p>
      <w:pPr>
        <w:spacing w:after="0" w:line="152" w:lineRule="exact"/>
        <w:rPr>
          <w:sz w:val="20"/>
          <w:szCs w:val="20"/>
          <w:color w:val="auto"/>
        </w:rPr>
      </w:pPr>
    </w:p>
    <w:p>
      <w:pPr>
        <w:ind w:left="5540" w:right="2160" w:hanging="5540"/>
        <w:spacing w:after="0" w:line="526" w:lineRule="auto"/>
        <w:tabs>
          <w:tab w:leader="none" w:pos="23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as an exhibit to an amendment to this registration statement or as an exhibit to a report filed under the Exchange Act and incorporated herein by reference.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16724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6" w:lineRule="exact"/>
        <w:rPr>
          <w:sz w:val="20"/>
          <w:szCs w:val="20"/>
          <w:color w:val="auto"/>
        </w:rPr>
      </w:pPr>
    </w:p>
    <w:p>
      <w:pPr>
        <w:jc w:val="both"/>
        <w:ind w:firstLine="241"/>
        <w:spacing w:after="0" w:line="296"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Shenzhen, China on May 26, 2026.</w:t>
      </w:r>
    </w:p>
    <w:p>
      <w:pPr>
        <w:spacing w:after="0" w:line="10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AIFU Inc.</w:t>
      </w:r>
    </w:p>
    <w:p>
      <w:pPr>
        <w:spacing w:after="0" w:line="176" w:lineRule="exact"/>
        <w:rPr>
          <w:sz w:val="20"/>
          <w:szCs w:val="20"/>
          <w:color w:val="auto"/>
        </w:rPr>
      </w:pPr>
    </w:p>
    <w:tbl>
      <w:tblPr>
        <w:tblLayout w:type="fixed"/>
        <w:tblInd w:w="6780" w:type="dxa"/>
        <w:tblCellMar>
          <w:top w:w="0" w:type="dxa"/>
          <w:left w:w="0" w:type="dxa"/>
          <w:bottom w:w="0" w:type="dxa"/>
          <w:right w:w="0" w:type="dxa"/>
        </w:tblCellMar>
      </w:tblPr>
      <w:tr>
        <w:trPr>
          <w:trHeight w:val="17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Mingxiu Luan</w:t>
            </w:r>
          </w:p>
        </w:tc>
      </w:tr>
      <w:tr>
        <w:trPr>
          <w:trHeight w:val="148"/>
        </w:trPr>
        <w:tc>
          <w:tcPr>
            <w:tcW w:w="5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Name:</w:t>
            </w:r>
          </w:p>
        </w:tc>
        <w:tc>
          <w:tcPr>
            <w:tcW w:w="39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Mingxiu Luan</w:t>
            </w:r>
          </w:p>
        </w:tc>
      </w:tr>
      <w:tr>
        <w:trPr>
          <w:trHeight w:val="17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76" w:lineRule="exact"/>
        <w:rPr>
          <w:sz w:val="20"/>
          <w:szCs w:val="20"/>
          <w:color w:val="auto"/>
        </w:rPr>
      </w:pPr>
    </w:p>
    <w:p>
      <w:pPr>
        <w:jc w:val="both"/>
        <w:ind w:firstLine="241"/>
        <w:spacing w:after="0" w:line="264"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hereby constitutes and appoints each of Mingxiu Luan and Huaguang Huang as his true and lawful attorneys-in-fact and agents, each with full power of substitution and re-substitution, for him and in his name, place and stead, in any and all capacities, to sign any and all amendments (including post-effective amendments) to this registration statement and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substitutes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requirements of the Securities Act of 1933, as amended, the registration statement has been signed by the following persons on May 26, 2026 in the capacities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Borders>
              <w:bottom w:val="single" w:sz="8" w:color="auto"/>
            </w:tcBorders>
          </w:tcPr>
          <w:p>
            <w:pPr>
              <w:jc w:val="center"/>
              <w:ind w:left="1053"/>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r>
      <w:tr>
        <w:trPr>
          <w:trHeight w:val="321"/>
        </w:trPr>
        <w:tc>
          <w:tcPr>
            <w:tcW w:w="452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3"/>
                <w:szCs w:val="13"/>
                <w:color w:val="auto"/>
              </w:rPr>
              <w:t>/s/ Mingxiu Luan</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Executive Officer and Vice-Chairperson of the Board of Directors</w:t>
            </w:r>
          </w:p>
        </w:tc>
      </w:tr>
      <w:tr>
        <w:trPr>
          <w:trHeight w:val="173"/>
        </w:trPr>
        <w:tc>
          <w:tcPr>
            <w:tcW w:w="4520" w:type="dxa"/>
            <w:vAlign w:val="bottom"/>
          </w:tcPr>
          <w:p>
            <w:pPr>
              <w:jc w:val="center"/>
              <w:ind w:left="1053"/>
              <w:spacing w:after="0"/>
              <w:rPr>
                <w:sz w:val="20"/>
                <w:szCs w:val="20"/>
                <w:color w:val="auto"/>
              </w:rPr>
            </w:pPr>
            <w:r>
              <w:rPr>
                <w:rFonts w:ascii="Times New Roman" w:cs="Times New Roman" w:eastAsia="Times New Roman" w:hAnsi="Times New Roman"/>
                <w:sz w:val="13"/>
                <w:szCs w:val="13"/>
                <w:color w:val="auto"/>
              </w:rPr>
              <w:t>Name: Mingxiu Luan</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r>
      <w:tr>
        <w:trPr>
          <w:trHeight w:val="309"/>
        </w:trPr>
        <w:tc>
          <w:tcPr>
            <w:tcW w:w="452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3"/>
                <w:szCs w:val="13"/>
                <w:color w:val="auto"/>
              </w:rPr>
              <w:t>/s/ Huaguang Huang</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3"/>
        </w:trPr>
        <w:tc>
          <w:tcPr>
            <w:tcW w:w="4520" w:type="dxa"/>
            <w:vAlign w:val="bottom"/>
          </w:tcPr>
          <w:p>
            <w:pPr>
              <w:jc w:val="center"/>
              <w:ind w:left="1073"/>
              <w:spacing w:after="0"/>
              <w:rPr>
                <w:sz w:val="20"/>
                <w:szCs w:val="20"/>
                <w:color w:val="auto"/>
              </w:rPr>
            </w:pPr>
            <w:r>
              <w:rPr>
                <w:rFonts w:ascii="Times New Roman" w:cs="Times New Roman" w:eastAsia="Times New Roman" w:hAnsi="Times New Roman"/>
                <w:sz w:val="13"/>
                <w:szCs w:val="13"/>
                <w:color w:val="auto"/>
              </w:rPr>
              <w:t>Name: Huaguang Huang</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r>
      <w:tr>
        <w:trPr>
          <w:trHeight w:val="309"/>
        </w:trPr>
        <w:tc>
          <w:tcPr>
            <w:tcW w:w="4520" w:type="dxa"/>
            <w:vAlign w:val="bottom"/>
            <w:tcBorders>
              <w:bottom w:val="single" w:sz="8" w:color="auto"/>
            </w:tcBorders>
          </w:tcPr>
          <w:p>
            <w:pPr>
              <w:jc w:val="center"/>
              <w:ind w:left="1053"/>
              <w:spacing w:after="0"/>
              <w:rPr>
                <w:sz w:val="20"/>
                <w:szCs w:val="20"/>
                <w:color w:val="auto"/>
              </w:rPr>
            </w:pPr>
            <w:r>
              <w:rPr>
                <w:rFonts w:ascii="Times New Roman" w:cs="Times New Roman" w:eastAsia="Times New Roman" w:hAnsi="Times New Roman"/>
                <w:sz w:val="13"/>
                <w:szCs w:val="13"/>
                <w:color w:val="auto"/>
              </w:rPr>
              <w:t>/s/ Kunlin Li</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73"/>
        </w:trPr>
        <w:tc>
          <w:tcPr>
            <w:tcW w:w="4520" w:type="dxa"/>
            <w:vAlign w:val="bottom"/>
          </w:tcPr>
          <w:p>
            <w:pPr>
              <w:jc w:val="center"/>
              <w:ind w:left="1073"/>
              <w:spacing w:after="0"/>
              <w:rPr>
                <w:sz w:val="20"/>
                <w:szCs w:val="20"/>
                <w:color w:val="auto"/>
              </w:rPr>
            </w:pPr>
            <w:r>
              <w:rPr>
                <w:rFonts w:ascii="Times New Roman" w:cs="Times New Roman" w:eastAsia="Times New Roman" w:hAnsi="Times New Roman"/>
                <w:sz w:val="13"/>
                <w:szCs w:val="13"/>
                <w:color w:val="auto"/>
              </w:rPr>
              <w:t>Name: Kunlin Li</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309"/>
        </w:trPr>
        <w:tc>
          <w:tcPr>
            <w:tcW w:w="452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3"/>
                <w:szCs w:val="13"/>
                <w:color w:val="auto"/>
              </w:rPr>
              <w:t>/s/ Changfu Li</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73"/>
        </w:trPr>
        <w:tc>
          <w:tcPr>
            <w:tcW w:w="4520" w:type="dxa"/>
            <w:vAlign w:val="bottom"/>
          </w:tcPr>
          <w:p>
            <w:pPr>
              <w:jc w:val="center"/>
              <w:ind w:left="1053"/>
              <w:spacing w:after="0"/>
              <w:rPr>
                <w:sz w:val="20"/>
                <w:szCs w:val="20"/>
                <w:color w:val="auto"/>
              </w:rPr>
            </w:pPr>
            <w:r>
              <w:rPr>
                <w:rFonts w:ascii="Times New Roman" w:cs="Times New Roman" w:eastAsia="Times New Roman" w:hAnsi="Times New Roman"/>
                <w:sz w:val="13"/>
                <w:szCs w:val="13"/>
                <w:color w:val="auto"/>
              </w:rPr>
              <w:t>Name: Changfu Li</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309"/>
        </w:trPr>
        <w:tc>
          <w:tcPr>
            <w:tcW w:w="452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3"/>
                <w:szCs w:val="13"/>
                <w:color w:val="auto"/>
                <w:w w:val="99"/>
              </w:rPr>
              <w:t>/s/ Jianyun Ye</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73"/>
        </w:trPr>
        <w:tc>
          <w:tcPr>
            <w:tcW w:w="4520" w:type="dxa"/>
            <w:vAlign w:val="bottom"/>
          </w:tcPr>
          <w:p>
            <w:pPr>
              <w:jc w:val="center"/>
              <w:ind w:left="1073"/>
              <w:spacing w:after="0"/>
              <w:rPr>
                <w:sz w:val="20"/>
                <w:szCs w:val="20"/>
                <w:color w:val="auto"/>
              </w:rPr>
            </w:pPr>
            <w:r>
              <w:rPr>
                <w:rFonts w:ascii="Times New Roman" w:cs="Times New Roman" w:eastAsia="Times New Roman" w:hAnsi="Times New Roman"/>
                <w:sz w:val="13"/>
                <w:szCs w:val="13"/>
                <w:color w:val="auto"/>
              </w:rPr>
              <w:t>Name: Jianyun Ye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470"/>
        </w:trPr>
        <w:tc>
          <w:tcPr>
            <w:tcW w:w="45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3"/>
                <w:szCs w:val="13"/>
                <w:color w:val="auto"/>
              </w:rPr>
              <w:t>II-5</w:t>
            </w:r>
          </w:p>
        </w:tc>
      </w:tr>
    </w:tbl>
    <w:p>
      <w:pPr>
        <w:sectPr>
          <w:pgSz w:w="11900" w:h="16838" w:orient="portrait"/>
          <w:cols w:equalWidth="0" w:num="1">
            <w:col w:w="11280"/>
          </w:cols>
          <w:pgMar w:left="300" w:top="705"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3"/>
          <w:szCs w:val="13"/>
          <w:b w:val="1"/>
          <w:bCs w:val="1"/>
          <w:color w:val="auto"/>
        </w:rPr>
        <w:t>SIGNATURE OF AUTHORIZED REPRESENTATIVE OF THE REGISTRANT</w:t>
      </w:r>
    </w:p>
    <w:p>
      <w:pPr>
        <w:spacing w:after="0" w:line="176" w:lineRule="exact"/>
        <w:rPr>
          <w:sz w:val="20"/>
          <w:szCs w:val="20"/>
          <w:color w:val="auto"/>
        </w:rPr>
      </w:pPr>
    </w:p>
    <w:p>
      <w:pPr>
        <w:ind w:firstLine="241"/>
        <w:spacing w:after="0" w:line="296" w:lineRule="auto"/>
        <w:rPr>
          <w:sz w:val="20"/>
          <w:szCs w:val="20"/>
          <w:color w:val="auto"/>
        </w:rPr>
      </w:pPr>
      <w:r>
        <w:rPr>
          <w:rFonts w:ascii="Times New Roman" w:cs="Times New Roman" w:eastAsia="Times New Roman" w:hAnsi="Times New Roman"/>
          <w:sz w:val="13"/>
          <w:szCs w:val="13"/>
          <w:color w:val="auto"/>
        </w:rPr>
        <w:t>Pursuant to the Securities Act of 1933, as amended, the undersigned, the duly authorized representative in the United States of AIFU Inc. has signed this registration statement or amendment thereto in New York, New York on May 26, 2026.</w:t>
      </w:r>
    </w:p>
    <w:p>
      <w:pPr>
        <w:spacing w:after="0" w:line="11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Authorized U.S. Representative</w:t>
      </w:r>
    </w:p>
    <w:p>
      <w:pPr>
        <w:spacing w:after="0" w:line="1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Cogency Global Inc.</w:t>
      </w:r>
    </w:p>
    <w:p>
      <w:pPr>
        <w:spacing w:after="0" w:line="176" w:lineRule="exact"/>
        <w:rPr>
          <w:sz w:val="20"/>
          <w:szCs w:val="20"/>
          <w:color w:val="auto"/>
        </w:rPr>
      </w:pPr>
    </w:p>
    <w:tbl>
      <w:tblPr>
        <w:tblLayout w:type="fixed"/>
        <w:tblInd w:w="6780" w:type="dxa"/>
        <w:tblCellMar>
          <w:top w:w="0" w:type="dxa"/>
          <w:left w:w="0" w:type="dxa"/>
          <w:bottom w:w="0" w:type="dxa"/>
          <w:right w:w="0" w:type="dxa"/>
        </w:tblCellMar>
      </w:tblPr>
      <w:tr>
        <w:trPr>
          <w:trHeight w:val="17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Colleen A. De Vries</w:t>
            </w:r>
          </w:p>
        </w:tc>
      </w:tr>
      <w:tr>
        <w:trPr>
          <w:trHeight w:val="148"/>
        </w:trPr>
        <w:tc>
          <w:tcPr>
            <w:tcW w:w="5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Name:</w:t>
            </w:r>
          </w:p>
        </w:tc>
        <w:tc>
          <w:tcPr>
            <w:tcW w:w="39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Colleen A. De Vries</w:t>
            </w:r>
          </w:p>
        </w:tc>
      </w:tr>
      <w:tr>
        <w:trPr>
          <w:trHeight w:val="173"/>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Senior Vice President</w:t>
            </w: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THE COMPANIES ACT (AS REVISED)</w:t>
      </w:r>
    </w:p>
    <w:p>
      <w:pPr>
        <w:spacing w:after="0" w:line="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OF THE CAYMAN ISLANDS</w:t>
      </w:r>
    </w:p>
    <w:p>
      <w:pPr>
        <w:spacing w:after="0" w:line="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COMPANY LIMITED BY SHARES</w:t>
      </w:r>
    </w:p>
    <w:p>
      <w:pPr>
        <w:spacing w:after="0" w:line="1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MEMORANDUM AND ARTICLES</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OF ASSOCIATION</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AIFU INC.</w:t>
      </w:r>
    </w:p>
    <w:p>
      <w:pPr>
        <w:spacing w:after="0" w:line="17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b w:val="1"/>
          <w:bCs w:val="1"/>
          <w:color w:val="auto"/>
        </w:rPr>
        <w:t>(ADOPTED BY SPECIAL RESOLUTION DATED 29 APRIL 2026 AND EFFECTIVE ON 13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833755</wp:posOffset>
            </wp:positionV>
            <wp:extent cx="716724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3"/>
          <w:szCs w:val="13"/>
          <w:b w:val="1"/>
          <w:bCs w:val="1"/>
          <w:color w:val="auto"/>
        </w:rPr>
        <w:t>THE COMPANIES ACT (AS REVISED)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CAYMAN ISLANDS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COMPANY LIMITED BY SHARES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MEMORANDUM OF ASSOCIATION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AIFU INC.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(ADOPTED BY SPECIAL RESOLUTION DATED 29 APRIL 2026 AND EFFECTIVE ON 13 MAY 2026)</w:t>
      </w:r>
    </w:p>
    <w:p>
      <w:pPr>
        <w:spacing w:after="0" w:line="176" w:lineRule="exact"/>
        <w:rPr>
          <w:sz w:val="20"/>
          <w:szCs w:val="20"/>
          <w:color w:val="auto"/>
        </w:rPr>
      </w:pPr>
    </w:p>
    <w:p>
      <w:pPr>
        <w:ind w:left="480" w:hanging="480"/>
        <w:spacing w:after="0"/>
        <w:tabs>
          <w:tab w:leader="none" w:pos="4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Company is AIFU Inc.</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objects for which the Company is established are unrestricted and the Company shall have full power and authority to carry out any object not prohibited by the Companies Act (As Revised) or as the same may be revised from time to time, or any other law of the Cayman Islands.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926" w:right="319" w:bottom="1440" w:gutter="0" w:footer="0" w:header="0"/>
        </w:sectPr>
      </w:pPr>
    </w:p>
    <w:bookmarkStart w:id="50" w:name="page51"/>
    <w:bookmarkEnd w:id="50"/>
    <w:p>
      <w:pPr>
        <w:ind w:left="480" w:hanging="480"/>
        <w:spacing w:after="0"/>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liability of each Member is limited to the amount from time to time unpaid on such Member’s shares.</w:t>
      </w:r>
    </w:p>
    <w:p>
      <w:pPr>
        <w:spacing w:after="0" w:line="171" w:lineRule="exact"/>
        <w:rPr>
          <w:rFonts w:ascii="Times New Roman" w:cs="Times New Roman" w:eastAsia="Times New Roman" w:hAnsi="Times New Roman"/>
          <w:sz w:val="13"/>
          <w:szCs w:val="13"/>
          <w:color w:val="auto"/>
        </w:rPr>
      </w:pPr>
    </w:p>
    <w:p>
      <w:pPr>
        <w:jc w:val="both"/>
        <w:ind w:left="480" w:hanging="480"/>
        <w:spacing w:after="0" w:line="267" w:lineRule="auto"/>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share capital of the Company is US$20,000,000 divided into 10,000,000,000 Ordinary Shares, comprising of (i) 8,000,000,000 Class A Ordinary Shares of a nominal or par value of US$0.002 each, and (ii) 2,000,000,000 Class B Ordinary Shares of a nominal or par value of US$0.002 each. The Company has the power to redeem or purchase any of its shares and to increase or reduce the said capital subject to the provisions of the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32"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power to register by way of continuation as a body corporate limited by shares under the laws of any jurisdiction outside the Cayman Islands and to be deregistered in the Cayman Islands.</w:t>
      </w:r>
    </w:p>
    <w:p>
      <w:pPr>
        <w:spacing w:after="0" w:line="113" w:lineRule="exact"/>
        <w:rPr>
          <w:rFonts w:ascii="Times New Roman" w:cs="Times New Roman" w:eastAsia="Times New Roman" w:hAnsi="Times New Roman"/>
          <w:sz w:val="13"/>
          <w:szCs w:val="13"/>
          <w:color w:val="auto"/>
        </w:rPr>
      </w:pPr>
    </w:p>
    <w:p>
      <w:pPr>
        <w:ind w:left="480" w:hanging="480"/>
        <w:spacing w:after="0" w:line="268" w:lineRule="auto"/>
        <w:tabs>
          <w:tab w:leader="none" w:pos="4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that are not defined in this Amended and Restated Memorandum of Association bear the same meaning as those given in the Amended and Restated Articles of Association of the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1" w:name="page52"/>
    <w:bookmarkEnd w:id="51"/>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THE COMPANIES ACT (AS REVISED)</w:t>
      </w:r>
    </w:p>
    <w:p>
      <w:pPr>
        <w:spacing w:after="0" w:line="28"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OF THE CAYMAN ISLANDS</w:t>
      </w:r>
    </w:p>
    <w:p>
      <w:pPr>
        <w:spacing w:after="0" w:line="1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COMPANY LIMITED BY SHARES</w:t>
      </w:r>
    </w:p>
    <w:p>
      <w:pPr>
        <w:spacing w:after="0" w:line="155"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17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ARTICLES OF ASSOCIATION</w:t>
      </w:r>
    </w:p>
    <w:p>
      <w:pPr>
        <w:spacing w:after="0" w:line="17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7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AIFU INC.</w:t>
      </w:r>
    </w:p>
    <w:p>
      <w:pPr>
        <w:spacing w:after="0" w:line="17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3"/>
          <w:szCs w:val="13"/>
          <w:b w:val="1"/>
          <w:bCs w:val="1"/>
          <w:color w:val="auto"/>
        </w:rPr>
        <w:t>(ADOPTED BY SPECIAL RESOLUTION DATED 29 APRIL 2026 AND EFFECTIVE ON 13 MAY 2026)</w:t>
      </w:r>
    </w:p>
    <w:p>
      <w:pPr>
        <w:spacing w:after="0" w:line="1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INTERPRETATION</w:t>
      </w:r>
    </w:p>
    <w:p>
      <w:pPr>
        <w:spacing w:after="0" w:line="176" w:lineRule="exact"/>
        <w:rPr>
          <w:sz w:val="20"/>
          <w:szCs w:val="20"/>
          <w:color w:val="auto"/>
        </w:rPr>
      </w:pPr>
    </w:p>
    <w:p>
      <w:pPr>
        <w:ind w:left="480" w:hanging="480"/>
        <w:spacing w:after="0"/>
        <w:tabs>
          <w:tab w:leader="none" w:pos="4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Articles, unless otherwise defined, the defined terms shall have the meanings assigned to them as follows:</w:t>
      </w:r>
    </w:p>
    <w:p>
      <w:pPr>
        <w:spacing w:after="0" w:line="167"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“Articles”</w:t>
      </w:r>
    </w:p>
    <w:p>
      <w:pPr>
        <w:spacing w:after="0" w:line="175"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Amended and Restated Articles of Association, as from time to time altered or added to in accordance with the Statutes and these Articles;</w:t>
      </w:r>
    </w:p>
    <w:p>
      <w:pPr>
        <w:spacing w:after="0" w:line="167"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“Board”</w:t>
      </w:r>
    </w:p>
    <w:p>
      <w:pPr>
        <w:spacing w:after="0" w:line="175"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the Company;</w:t>
      </w:r>
    </w:p>
    <w:p>
      <w:pPr>
        <w:spacing w:after="0" w:line="167"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“Business Day”</w:t>
      </w:r>
    </w:p>
    <w:p>
      <w:pPr>
        <w:spacing w:after="0" w:line="175"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day (excluding Saturdays or Sundays), on which banks in Hong Kong, Beijing and New York are open for general banking business throughout their normal business hours;</w:t>
      </w:r>
    </w:p>
    <w:p>
      <w:pPr>
        <w:spacing w:after="0" w:line="167"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“Class A Ordinary Shares”</w:t>
      </w:r>
    </w:p>
    <w:p>
      <w:pPr>
        <w:spacing w:after="0" w:line="175"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shares of par value of US$0.002 each in the capital of the Company designated as Class A Ordinary Shares, and having the rights provided for in these Articles;</w:t>
      </w:r>
    </w:p>
    <w:p>
      <w:pPr>
        <w:spacing w:after="0" w:line="167"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“Class B Ordinary Shares”</w:t>
      </w:r>
    </w:p>
    <w:p>
      <w:pPr>
        <w:spacing w:after="0" w:line="175"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shares of par value of US$0.002 each in the capital of the Company designated as Class B Ordinary Shares, and having the rights provided for in these Articles;</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0300"/>
          </w:cols>
          <w:pgMar w:left="300" w:top="283" w:right="1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Securities and Exchange Commission of the United States of America or any other federal agency for the time being administering the Securities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“Companies Act”</w:t>
      </w:r>
    </w:p>
    <w:p>
      <w:pPr>
        <w:spacing w:after="0" w:line="176" w:lineRule="exact"/>
        <w:rPr>
          <w:sz w:val="20"/>
          <w:szCs w:val="20"/>
          <w:color w:val="auto"/>
        </w:rPr>
      </w:pPr>
    </w:p>
    <w:p>
      <w:pPr>
        <w:ind w:left="480"/>
        <w:spacing w:after="0" w:line="296" w:lineRule="auto"/>
        <w:rPr>
          <w:sz w:val="20"/>
          <w:szCs w:val="20"/>
          <w:color w:val="auto"/>
        </w:rPr>
      </w:pPr>
      <w:r>
        <w:rPr>
          <w:rFonts w:ascii="Times New Roman" w:cs="Times New Roman" w:eastAsia="Times New Roman" w:hAnsi="Times New Roman"/>
          <w:sz w:val="13"/>
          <w:szCs w:val="13"/>
          <w:color w:val="auto"/>
        </w:rPr>
        <w:t>the Companies Act (As Revised) of the Cayman Islands and any statutory amendment or re-enactment thereof. Where any provision of the Companies Act is referred to, the reference is to that provision as amended by any law for the time being in force;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AIFU Inc., a Cayman Islands exempted company limited by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“Company’s Website”</w:t>
      </w:r>
    </w:p>
    <w:p>
      <w:pPr>
        <w:spacing w:after="0" w:line="176" w:lineRule="exact"/>
        <w:rPr>
          <w:sz w:val="20"/>
          <w:szCs w:val="20"/>
          <w:color w:val="auto"/>
        </w:rPr>
      </w:pPr>
    </w:p>
    <w:p>
      <w:pPr>
        <w:ind w:left="480"/>
        <w:spacing w:after="0" w:line="296" w:lineRule="auto"/>
        <w:rPr>
          <w:sz w:val="20"/>
          <w:szCs w:val="20"/>
          <w:color w:val="auto"/>
        </w:rPr>
      </w:pPr>
      <w:r>
        <w:rPr>
          <w:rFonts w:ascii="Times New Roman" w:cs="Times New Roman" w:eastAsia="Times New Roman" w:hAnsi="Times New Roman"/>
          <w:sz w:val="13"/>
          <w:szCs w:val="13"/>
          <w:color w:val="auto"/>
        </w:rPr>
        <w:t>the main corporate/investor relations website of the Company, the address or domain name of which has been disclosed in any registration statement filed by the Company with the Commission or which has otherwise been notified to Members;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“Designated Stock Exchange”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Global Market of The Nasdaq Stock Market, The New York Stock Exchange or any other internationally recognized stock exchange where the Company’s securities are traded;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directors of the Company for the time being, or as the case may be, the Directors assembled as a Board or as a committee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“electronic”</w:t>
      </w:r>
    </w:p>
    <w:p>
      <w:pPr>
        <w:spacing w:after="0" w:line="176" w:lineRule="exact"/>
        <w:rPr>
          <w:sz w:val="20"/>
          <w:szCs w:val="20"/>
          <w:color w:val="auto"/>
        </w:rPr>
      </w:pPr>
    </w:p>
    <w:p>
      <w:pPr>
        <w:ind w:left="480"/>
        <w:spacing w:after="0" w:line="296" w:lineRule="auto"/>
        <w:rPr>
          <w:sz w:val="20"/>
          <w:szCs w:val="20"/>
          <w:color w:val="auto"/>
        </w:rPr>
      </w:pPr>
      <w:r>
        <w:rPr>
          <w:rFonts w:ascii="Times New Roman" w:cs="Times New Roman" w:eastAsia="Times New Roman" w:hAnsi="Times New Roman"/>
          <w:sz w:val="13"/>
          <w:szCs w:val="13"/>
          <w:color w:val="auto"/>
        </w:rPr>
        <w:t>the meaning given to it in the Electronic Transactions Act (As Revised) of the Cayman Islands and any amendment thereto or re-enactments thereof for the time being in force and includes every other law incorporated therewith or substituted therefore;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“electronic communication”</w:t>
      </w:r>
    </w:p>
    <w:p>
      <w:pPr>
        <w:spacing w:after="0" w:line="176" w:lineRule="exact"/>
        <w:rPr>
          <w:sz w:val="20"/>
          <w:szCs w:val="20"/>
          <w:color w:val="auto"/>
        </w:rPr>
      </w:pPr>
    </w:p>
    <w:p>
      <w:pPr>
        <w:ind w:left="480"/>
        <w:spacing w:after="0" w:line="296" w:lineRule="auto"/>
        <w:rPr>
          <w:sz w:val="20"/>
          <w:szCs w:val="20"/>
          <w:color w:val="auto"/>
        </w:rPr>
      </w:pPr>
      <w:r>
        <w:rPr>
          <w:rFonts w:ascii="Times New Roman" w:cs="Times New Roman" w:eastAsia="Times New Roman" w:hAnsi="Times New Roman"/>
          <w:sz w:val="13"/>
          <w:szCs w:val="13"/>
          <w:color w:val="auto"/>
        </w:rPr>
        <w:t>electronic posting to the Company’s Website, transmission to any number, address or internet website or other electronic delivery methods as otherwise decided and approved by a majority of no less than two-thirds of the votes of the Board;</w:t>
      </w:r>
    </w:p>
    <w:p>
      <w:pPr>
        <w:spacing w:after="0" w:line="2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15240</wp:posOffset>
            </wp:positionV>
            <wp:extent cx="716724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0800"/>
          </w:cols>
          <w:pgMar w:left="780" w:top="28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color w:val="auto"/>
        </w:rPr>
        <w:t>“in writing”</w:t>
      </w:r>
    </w:p>
    <w:p>
      <w:pPr>
        <w:spacing w:after="0" w:line="176" w:lineRule="exact"/>
        <w:rPr>
          <w:sz w:val="20"/>
          <w:szCs w:val="20"/>
          <w:color w:val="auto"/>
        </w:rPr>
      </w:pPr>
    </w:p>
    <w:p>
      <w:pPr>
        <w:jc w:val="both"/>
        <w:ind w:left="480"/>
        <w:spacing w:after="0" w:line="277" w:lineRule="auto"/>
        <w:rPr>
          <w:sz w:val="20"/>
          <w:szCs w:val="20"/>
          <w:color w:val="auto"/>
        </w:rPr>
      </w:pPr>
      <w:r>
        <w:rPr>
          <w:rFonts w:ascii="Times New Roman" w:cs="Times New Roman" w:eastAsia="Times New Roman" w:hAnsi="Times New Roman"/>
          <w:sz w:val="13"/>
          <w:szCs w:val="13"/>
          <w:color w:val="auto"/>
        </w:rPr>
        <w:t>includes writing, printing, lithograph, photograph, type-writing and every other mode of representing words or figures in a legible and non-transitory form and, only where used in connection with a notice served by the Company on Members or other persons entitled to receive notices hereunder, shall also include a record maintained in an electronic medium which is accessible in visible form so as to be useable for subsequent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“Member”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person whose name is entered in the Register of Members as the holder of a share or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“Senior Management”</w:t>
      </w:r>
    </w:p>
    <w:p>
      <w:pPr>
        <w:spacing w:after="0" w:line="176" w:lineRule="exact"/>
        <w:rPr>
          <w:sz w:val="20"/>
          <w:szCs w:val="20"/>
          <w:color w:val="auto"/>
        </w:rPr>
      </w:pPr>
    </w:p>
    <w:p>
      <w:pPr>
        <w:jc w:val="both"/>
        <w:ind w:left="480"/>
        <w:spacing w:after="0" w:line="289" w:lineRule="auto"/>
        <w:rPr>
          <w:sz w:val="20"/>
          <w:szCs w:val="20"/>
          <w:color w:val="auto"/>
        </w:rPr>
      </w:pPr>
      <w:r>
        <w:rPr>
          <w:rFonts w:ascii="Times New Roman" w:cs="Times New Roman" w:eastAsia="Times New Roman" w:hAnsi="Times New Roman"/>
          <w:sz w:val="13"/>
          <w:szCs w:val="13"/>
          <w:color w:val="auto"/>
        </w:rPr>
        <w:t>a person who serves as the president, any vice president in charge of a principal business unit, division or function, any other officer who performs a policy making function, or any other person who performs similar policy making functions for the Company (and the determination of the Board as to whether any person falls within this definition and is Senior Management shall be conclusive);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“Memorandum of Association”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Amended and Restated Memorandum of Association of the Company, as amended and re-stated from time to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“month”</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calendar month;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Resolution”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resolution:</w:t>
      </w:r>
    </w:p>
    <w:p>
      <w:pPr>
        <w:spacing w:after="0" w:line="172" w:lineRule="exact"/>
        <w:rPr>
          <w:sz w:val="20"/>
          <w:szCs w:val="20"/>
          <w:color w:val="auto"/>
        </w:rPr>
      </w:pPr>
    </w:p>
    <w:p>
      <w:pPr>
        <w:ind w:left="960" w:hanging="476"/>
        <w:spacing w:after="0" w:line="296" w:lineRule="auto"/>
        <w:tabs>
          <w:tab w:leader="none" w:pos="9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passed by a simple majority of votes cast by such Members as, being entitled to do so, vote in person or, in the case of any Member being an organization, by its duly authorized representative or, where proxies are allowed, by proxy at a general meeting of the Company; or</w:t>
      </w:r>
    </w:p>
    <w:p>
      <w:pPr>
        <w:spacing w:after="0" w:line="113" w:lineRule="exact"/>
        <w:rPr>
          <w:rFonts w:ascii="Times New Roman" w:cs="Times New Roman" w:eastAsia="Times New Roman" w:hAnsi="Times New Roman"/>
          <w:sz w:val="13"/>
          <w:szCs w:val="13"/>
          <w:color w:val="auto"/>
        </w:rPr>
      </w:pPr>
    </w:p>
    <w:p>
      <w:pPr>
        <w:ind w:left="960" w:hanging="476"/>
        <w:spacing w:after="0" w:line="296" w:lineRule="auto"/>
        <w:tabs>
          <w:tab w:leader="none" w:pos="9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Shares”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ordinary shares of par value of US$0.002 each in the capital of the Company, including the Class A Ordinary Shares and the Class B Ordinary Shares;</w:t>
      </w:r>
    </w:p>
    <w:p>
      <w:pPr>
        <w:spacing w:after="0" w:line="3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15240</wp:posOffset>
            </wp:positionV>
            <wp:extent cx="716724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0800"/>
          </w:cols>
          <w:pgMar w:left="780" w:top="28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color w:val="auto"/>
        </w:rPr>
        <w:t>“paid up”</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paid up as to the par value and any premium payable in respect of the issue of any shares and includes credited as paid up;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“Register of Members”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register to be kept by the Company in accordance with the Companies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Registered Office”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registered office for the time being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“Seal”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common seal of the Company including any facsimile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Act”</w:t>
      </w:r>
    </w:p>
    <w:p>
      <w:pPr>
        <w:spacing w:after="0" w:line="176" w:lineRule="exact"/>
        <w:rPr>
          <w:sz w:val="20"/>
          <w:szCs w:val="20"/>
          <w:color w:val="auto"/>
        </w:rPr>
      </w:pPr>
    </w:p>
    <w:p>
      <w:pPr>
        <w:ind w:left="480"/>
        <w:spacing w:after="0" w:line="296" w:lineRule="auto"/>
        <w:rPr>
          <w:sz w:val="20"/>
          <w:szCs w:val="20"/>
          <w:color w:val="auto"/>
        </w:rPr>
      </w:pPr>
      <w:r>
        <w:rPr>
          <w:rFonts w:ascii="Times New Roman" w:cs="Times New Roman" w:eastAsia="Times New Roman" w:hAnsi="Times New Roman"/>
          <w:sz w:val="13"/>
          <w:szCs w:val="13"/>
          <w:color w:val="auto"/>
        </w:rPr>
        <w:t>the Securities Act of 1933 of the United States of America, as amended, or any similar federal statute and the rules and regulations of the Commission thereunder, all as the same shall be in effect at the time;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shares of any or all Classes in the capital of the Company, including Class A Ordinary Shares and Class B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“signed”</w:t>
      </w:r>
    </w:p>
    <w:p>
      <w:pPr>
        <w:spacing w:after="0" w:line="176" w:lineRule="exact"/>
        <w:rPr>
          <w:sz w:val="20"/>
          <w:szCs w:val="20"/>
          <w:color w:val="auto"/>
        </w:rPr>
      </w:pPr>
    </w:p>
    <w:p>
      <w:pPr>
        <w:ind w:left="480"/>
        <w:spacing w:after="0" w:line="296" w:lineRule="auto"/>
        <w:rPr>
          <w:sz w:val="20"/>
          <w:szCs w:val="20"/>
          <w:color w:val="auto"/>
        </w:rPr>
      </w:pPr>
      <w:r>
        <w:rPr>
          <w:rFonts w:ascii="Times New Roman" w:cs="Times New Roman" w:eastAsia="Times New Roman" w:hAnsi="Times New Roman"/>
          <w:sz w:val="13"/>
          <w:szCs w:val="13"/>
          <w:color w:val="auto"/>
        </w:rPr>
        <w:t>includes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“Special Resolution”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a resolution passed in accordance with Section 60 of the Companies Act and includes a unanimous written resolution expressly passed as a special resolution;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“Statutes”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Companies Act and every other laws and regulations of the Cayman Islands for the time being in force concerning companies and affecting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calendar year.</w:t>
      </w:r>
    </w:p>
    <w:p>
      <w:pPr>
        <w:spacing w:after="0" w:line="33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15240</wp:posOffset>
            </wp:positionV>
            <wp:extent cx="716724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0800"/>
          </w:cols>
          <w:pgMar w:left="780" w:top="283" w:right="319" w:bottom="1440" w:gutter="0" w:footer="0" w:header="0"/>
        </w:sectPr>
      </w:pPr>
    </w:p>
    <w:bookmarkStart w:id="55" w:name="page56"/>
    <w:bookmarkEnd w:id="55"/>
    <w:p>
      <w:pPr>
        <w:ind w:left="480" w:hanging="480"/>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Articles, save where the context requires otherwise:</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importing the singular number shall include the plural number and vice versa;</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importing the masculine gender only shall include the feminine gender;</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importing persons only shall include companies or associations or bodies of persons, whether corporate or not;</w:t>
      </w:r>
    </w:p>
    <w:p>
      <w:pPr>
        <w:spacing w:after="0" w:line="167"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“may” </w:t>
      </w:r>
      <w:r>
        <w:rPr>
          <w:rFonts w:ascii="Times New Roman" w:cs="Times New Roman" w:eastAsia="Times New Roman" w:hAnsi="Times New Roman"/>
          <w:sz w:val="13"/>
          <w:szCs w:val="13"/>
          <w:color w:val="auto"/>
        </w:rPr>
        <w:t>shall be construed as permissive and</w:t>
      </w:r>
      <w:r>
        <w:rPr>
          <w:rFonts w:ascii="Times New Roman" w:cs="Times New Roman" w:eastAsia="Times New Roman" w:hAnsi="Times New Roman"/>
          <w:sz w:val="13"/>
          <w:szCs w:val="13"/>
          <w:b w:val="1"/>
          <w:bCs w:val="1"/>
          <w:color w:val="auto"/>
        </w:rPr>
        <w:t xml:space="preserve"> “shall” </w:t>
      </w:r>
      <w:r>
        <w:rPr>
          <w:rFonts w:ascii="Times New Roman" w:cs="Times New Roman" w:eastAsia="Times New Roman" w:hAnsi="Times New Roman"/>
          <w:sz w:val="13"/>
          <w:szCs w:val="13"/>
          <w:color w:val="auto"/>
        </w:rPr>
        <w:t>shall be construed as imperative;</w:t>
      </w:r>
    </w:p>
    <w:p>
      <w:pPr>
        <w:spacing w:after="0" w:line="175"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reference to a dollar or dollars (or $) is a reference to dollars of the United States;</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a statutory enactment shall include reference to any amendment or re-enactment thereof for the time being in force;</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phrase introduced by the terms “including”, “include”, “in particular” or any similar expression shall be construed as illustrative and shall not limit the sense of the words preceding those terms; and</w:t>
      </w:r>
    </w:p>
    <w:p>
      <w:pPr>
        <w:spacing w:after="0" w:line="113"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Sections 8 and 19(3) of the Electronic Transactions Act (As Revised) shall not apply.</w:t>
      </w:r>
    </w:p>
    <w:p>
      <w:pPr>
        <w:spacing w:after="0" w:line="171"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last two preceding Articles, any words defined in the Companies Act shall, if not inconsistent with the subject or context, bear the same meaning in these Articles.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PRELIMINARY</w:t>
      </w:r>
    </w:p>
    <w:p>
      <w:pPr>
        <w:spacing w:after="0" w:line="176" w:lineRule="exact"/>
        <w:rPr>
          <w:sz w:val="20"/>
          <w:szCs w:val="20"/>
          <w:color w:val="auto"/>
        </w:rPr>
      </w:pPr>
    </w:p>
    <w:p>
      <w:pPr>
        <w:ind w:left="480" w:hanging="480"/>
        <w:spacing w:after="0"/>
        <w:tabs>
          <w:tab w:leader="none" w:pos="4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of the Company may be commenced as soon after incorporation as the Directors see fit, notwithstanding that only part of the shares may have been allotted or issued.</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 CAPITAL</w:t>
      </w:r>
    </w:p>
    <w:p>
      <w:pPr>
        <w:spacing w:after="0" w:line="176" w:lineRule="exact"/>
        <w:rPr>
          <w:sz w:val="20"/>
          <w:szCs w:val="20"/>
          <w:color w:val="auto"/>
        </w:rPr>
      </w:pPr>
    </w:p>
    <w:p>
      <w:pPr>
        <w:jc w:val="both"/>
        <w:ind w:left="480" w:hanging="480"/>
        <w:spacing w:after="0" w:line="267" w:lineRule="auto"/>
        <w:tabs>
          <w:tab w:leader="none" w:pos="4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share capital of the Company at the date of adoption of these Articles is US$20,000,000 divided into 10,000,000,000 Ordinary Shares, comprising of (i) 8,000,000,000 Class A Ordinary Shares of a nominal or par value of US$0.002 each, and (ii) 2,000,000,000 Class B Ordinary Shares of a nominal or par value of US$0.002 each, with power for the Company, insofar as is permitted by law,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7"/>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80" w:type="dxa"/>
            <w:vAlign w:val="bottom"/>
          </w:tcPr>
          <w:p>
            <w:pPr>
              <w:ind w:left="2520"/>
              <w:spacing w:after="0"/>
              <w:rPr>
                <w:sz w:val="20"/>
                <w:szCs w:val="20"/>
                <w:color w:val="auto"/>
              </w:rPr>
            </w:pPr>
            <w:r>
              <w:rPr>
                <w:rFonts w:ascii="Times New Roman" w:cs="Times New Roman" w:eastAsia="Times New Roman" w:hAnsi="Times New Roman"/>
                <w:sz w:val="13"/>
                <w:szCs w:val="13"/>
                <w:b w:val="1"/>
                <w:bCs w:val="1"/>
                <w:color w:val="auto"/>
              </w:rPr>
              <w:t>CLASS A ORDINARY SHARES AND CLASS B ORDINARY SHARES</w:t>
            </w:r>
          </w:p>
        </w:tc>
      </w:tr>
      <w:tr>
        <w:trPr>
          <w:trHeight w:val="30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6A</w:t>
            </w: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w:t>
            </w: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Voting Right. Holders of Class A Ordinary Shares and Class B Ordinary Shares shall at all times vote together as one class on all resolutions submitted to a vote by the Members. Each holder</w:t>
            </w:r>
          </w:p>
        </w:tc>
      </w:tr>
      <w:tr>
        <w:trPr>
          <w:trHeight w:val="161"/>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of Class A Ordinary Shares shall, on a poll, be entitled to one vote for each Class A Ordinary Share he or she holds, and each holder of Class B Ordinary Shares shall, on a poll, be entitled to</w:t>
            </w:r>
          </w:p>
        </w:tc>
      </w:tr>
      <w:tr>
        <w:trPr>
          <w:trHeight w:val="173"/>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one hundred (100) votes for each Class B Ordinary Share he or she holds, in each case on any and all matters subject to vote at general meetings of the Company.</w:t>
            </w:r>
          </w:p>
        </w:tc>
      </w:tr>
      <w:tr>
        <w:trPr>
          <w:trHeight w:val="305"/>
        </w:trPr>
        <w:tc>
          <w:tcPr>
            <w:tcW w:w="32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Class B Ordinary Shares may only be allotted and issued to persons who, as at the date of such issuance, are Directors, Senior Management or holders of existing Shares, or to companies</w:t>
            </w:r>
          </w:p>
        </w:tc>
      </w:tr>
      <w:tr>
        <w:trPr>
          <w:trHeight w:val="165"/>
        </w:trPr>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wholly owned by a Director, Senior Management or holder of existing Shares (each an “</w:t>
            </w:r>
            <w:r>
              <w:rPr>
                <w:rFonts w:ascii="Times New Roman" w:cs="Times New Roman" w:eastAsia="Times New Roman" w:hAnsi="Times New Roman"/>
                <w:sz w:val="13"/>
                <w:szCs w:val="13"/>
                <w:b w:val="1"/>
                <w:bCs w:val="1"/>
                <w:color w:val="auto"/>
              </w:rPr>
              <w:t>Owned Company</w:t>
            </w:r>
            <w:r>
              <w:rPr>
                <w:rFonts w:ascii="Times New Roman" w:cs="Times New Roman" w:eastAsia="Times New Roman" w:hAnsi="Times New Roman"/>
                <w:sz w:val="13"/>
                <w:szCs w:val="13"/>
                <w:color w:val="auto"/>
              </w:rPr>
              <w:t>”), at such times and on such terms, considerations and conditions as the Directors, in</w:t>
            </w:r>
          </w:p>
        </w:tc>
      </w:tr>
      <w:tr>
        <w:trPr>
          <w:trHeight w:val="173"/>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their absolute discretion, may think fit.</w:t>
            </w:r>
          </w:p>
        </w:tc>
      </w:tr>
      <w:tr>
        <w:trPr>
          <w:trHeight w:val="309"/>
        </w:trPr>
        <w:tc>
          <w:tcPr>
            <w:tcW w:w="32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w:t>
            </w: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w:t>
            </w: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Where Class B Ordinary Shares are held by any person who is employed by the Company, all the Class B Ordinary Shares held by such holder shall be automatically and immediately</w:t>
            </w:r>
          </w:p>
        </w:tc>
      </w:tr>
      <w:tr>
        <w:trPr>
          <w:trHeight w:val="173"/>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converted into the same number of Class A Ordinary Shares forthwith upon the termination (howsoever arising) of the holder’s employment relationship with the Company.</w:t>
            </w:r>
          </w:p>
        </w:tc>
      </w:tr>
      <w:tr>
        <w:trPr>
          <w:trHeight w:val="309"/>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(ii)</w:t>
            </w: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Where Class B Ordinary Shares are held by a Director, all the Class B Ordinary Shares held by such Director shall be automatically and immediately converted into the same number</w:t>
            </w:r>
          </w:p>
        </w:tc>
      </w:tr>
      <w:tr>
        <w:trPr>
          <w:trHeight w:val="173"/>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Class A Ordinary Shares forthwith upon his or her resignation or removal from the Board.</w:t>
            </w:r>
          </w:p>
        </w:tc>
      </w:tr>
      <w:tr>
        <w:trPr>
          <w:trHeight w:val="309"/>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(iii)</w:t>
            </w: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Where Class B Ordinary Shares are held by an Owned Company which is wholly-owned by a Director, Senior Management or holder of existing Shares, all the Class B Ordinary</w:t>
            </w:r>
          </w:p>
        </w:tc>
      </w:tr>
      <w:tr>
        <w:trPr>
          <w:trHeight w:val="161"/>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held by such Owned Company shall be automatically and immediately converted into the same number of Class A Ordinary Shares forthwith upon the relevant Director, Senior</w:t>
            </w:r>
          </w:p>
        </w:tc>
      </w:tr>
      <w:tr>
        <w:trPr>
          <w:trHeight w:val="161"/>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Management or holder of existing Shares ceasing to wholly-own such Owned Company. Without prejudice to the foregoing, each such Director, Senior Management or holder of</w:t>
            </w:r>
          </w:p>
        </w:tc>
      </w:tr>
      <w:tr>
        <w:trPr>
          <w:trHeight w:val="173"/>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existing Shares (as applicable) shall provide prior written notice to the Company of it ceasing to wholly-own an Owned Company.</w:t>
            </w:r>
          </w:p>
        </w:tc>
      </w:tr>
      <w:tr>
        <w:trPr>
          <w:trHeight w:val="309"/>
        </w:trPr>
        <w:tc>
          <w:tcPr>
            <w:tcW w:w="32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w:t>
            </w: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Each Class B Ordinary Share confers upon the holder: (a) no right to any share in any dividend or distribution paid by the Company and (b) no right to any share in the distribution of the</w:t>
            </w:r>
          </w:p>
        </w:tc>
      </w:tr>
      <w:tr>
        <w:trPr>
          <w:trHeight w:val="161"/>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surplus assets of the Company upon liquidation or otherwise, and no Class B Ordinary Share may be sold, transferred, assigned, pledged, or otherwise disposed of, or used as collateral for</w:t>
            </w:r>
          </w:p>
        </w:tc>
      </w:tr>
      <w:tr>
        <w:trPr>
          <w:trHeight w:val="173"/>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loans or any obligations.</w:t>
            </w:r>
          </w:p>
        </w:tc>
      </w:tr>
      <w:tr>
        <w:trPr>
          <w:trHeight w:val="482"/>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4320"/>
              <w:spacing w:after="0"/>
              <w:rPr>
                <w:sz w:val="20"/>
                <w:szCs w:val="20"/>
                <w:color w:val="auto"/>
              </w:rPr>
            </w:pPr>
            <w:r>
              <w:rPr>
                <w:rFonts w:ascii="Times New Roman" w:cs="Times New Roman" w:eastAsia="Times New Roman" w:hAnsi="Times New Roman"/>
                <w:sz w:val="13"/>
                <w:szCs w:val="13"/>
                <w:color w:val="auto"/>
              </w:rPr>
              <w:t>9</w:t>
            </w:r>
          </w:p>
        </w:tc>
      </w:tr>
    </w:tbl>
    <w:p>
      <w:pPr>
        <w:sectPr>
          <w:pgSz w:w="11900" w:h="16838" w:orient="portrait"/>
          <w:cols w:equalWidth="0" w:num="1">
            <w:col w:w="11280"/>
          </w:cols>
          <w:pgMar w:left="300" w:top="283" w:right="319" w:bottom="1440" w:gutter="0" w:footer="0" w:header="0"/>
        </w:sectPr>
      </w:pPr>
    </w:p>
    <w:bookmarkStart w:id="57" w:name="page58"/>
    <w:bookmarkEnd w:id="57"/>
    <w:p>
      <w:pPr>
        <w:ind w:left="480" w:hanging="478"/>
        <w:spacing w:after="0"/>
        <w:tabs>
          <w:tab w:leader="none" w:pos="4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Redemption.</w:t>
      </w:r>
    </w:p>
    <w:p>
      <w:pPr>
        <w:spacing w:after="0" w:line="171" w:lineRule="exact"/>
        <w:rPr>
          <w:rFonts w:ascii="Times New Roman" w:cs="Times New Roman" w:eastAsia="Times New Roman" w:hAnsi="Times New Roman"/>
          <w:sz w:val="13"/>
          <w:szCs w:val="13"/>
          <w:color w:val="auto"/>
        </w:rPr>
      </w:pPr>
    </w:p>
    <w:p>
      <w:pPr>
        <w:ind w:left="960" w:hanging="476"/>
        <w:spacing w:after="0" w:line="296" w:lineRule="auto"/>
        <w:tabs>
          <w:tab w:leader="none" w:pos="9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at its option, redeem all or any of the Class B Ordinary Shares held by any person at any time, at such price, and in such manner as may be determined by the Board of Directors, in accordance with the provisions set forth in this Article 6A(e).</w:t>
      </w:r>
    </w:p>
    <w:p>
      <w:pPr>
        <w:spacing w:after="0" w:line="113" w:lineRule="exact"/>
        <w:rPr>
          <w:rFonts w:ascii="Times New Roman" w:cs="Times New Roman" w:eastAsia="Times New Roman" w:hAnsi="Times New Roman"/>
          <w:sz w:val="13"/>
          <w:szCs w:val="13"/>
          <w:color w:val="auto"/>
        </w:rPr>
      </w:pPr>
    </w:p>
    <w:p>
      <w:pPr>
        <w:ind w:left="960" w:hanging="476"/>
        <w:spacing w:after="0"/>
        <w:tabs>
          <w:tab w:leader="none" w:pos="9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shall have the sole discretion to determine (A) the specific Class B Ordinary Shares to be redeemed from any holder thereof, (B) the timing of the redemption,</w:t>
      </w:r>
    </w:p>
    <w:p>
      <w:pPr>
        <w:spacing w:after="0" w:line="23" w:lineRule="exact"/>
        <w:rPr>
          <w:rFonts w:ascii="Times New Roman" w:cs="Times New Roman" w:eastAsia="Times New Roman" w:hAnsi="Times New Roman"/>
          <w:sz w:val="13"/>
          <w:szCs w:val="13"/>
          <w:color w:val="auto"/>
        </w:rPr>
      </w:pPr>
    </w:p>
    <w:p>
      <w:pPr>
        <w:ind w:left="960"/>
        <w:spacing w:after="0" w:line="27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the redemption price, which may be at par value, at a premium, or at a discount, (D) the date upon which the redemption price will be paid, and (E) the manner and procedure for the redemption.</w:t>
      </w:r>
    </w:p>
    <w:p>
      <w:pPr>
        <w:spacing w:after="0" w:line="126" w:lineRule="exact"/>
        <w:rPr>
          <w:rFonts w:ascii="Times New Roman" w:cs="Times New Roman" w:eastAsia="Times New Roman" w:hAnsi="Times New Roman"/>
          <w:sz w:val="13"/>
          <w:szCs w:val="13"/>
          <w:color w:val="auto"/>
        </w:rPr>
      </w:pPr>
    </w:p>
    <w:p>
      <w:pPr>
        <w:jc w:val="both"/>
        <w:ind w:left="960" w:hanging="476"/>
        <w:spacing w:after="0" w:line="277" w:lineRule="auto"/>
        <w:tabs>
          <w:tab w:leader="none" w:pos="9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provide written notice to the Member whose Class B Ordinary Shares are to be redeemed. The notice shall specify (A) the number of Class B Ordinary Shares to be redeemed, (B) the redemption price, (C) the date on which the redemption will occur, (D) the date on which the redemption price will be paid, and (E) any other terms and conditions of the redemption as determined by the Board of Directors.</w:t>
      </w:r>
    </w:p>
    <w:p>
      <w:pPr>
        <w:spacing w:after="0" w:line="125" w:lineRule="exact"/>
        <w:rPr>
          <w:rFonts w:ascii="Times New Roman" w:cs="Times New Roman" w:eastAsia="Times New Roman" w:hAnsi="Times New Roman"/>
          <w:sz w:val="13"/>
          <w:szCs w:val="13"/>
          <w:color w:val="auto"/>
        </w:rPr>
      </w:pPr>
    </w:p>
    <w:p>
      <w:pPr>
        <w:jc w:val="both"/>
        <w:ind w:left="960" w:hanging="476"/>
        <w:spacing w:after="0" w:line="277" w:lineRule="auto"/>
        <w:tabs>
          <w:tab w:leader="none" w:pos="9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redemption date, the Company shall be authorized (without any further action required of or by the relevant Member) to make entries in the Register of Members to record and give effect to the redemption of the relevant Class B Ordinary Shares specified in the notice, which shall be deemed cancelled and shall no longer be outstanding, and the relevant Member shall cease to have any rights with respect to the redeemed Class B Ordinary Shares, except the right to receive the redemption price.</w:t>
      </w:r>
    </w:p>
    <w:p>
      <w:pPr>
        <w:spacing w:after="0" w:line="125" w:lineRule="exact"/>
        <w:rPr>
          <w:rFonts w:ascii="Times New Roman" w:cs="Times New Roman" w:eastAsia="Times New Roman" w:hAnsi="Times New Roman"/>
          <w:sz w:val="13"/>
          <w:szCs w:val="13"/>
          <w:color w:val="auto"/>
        </w:rPr>
      </w:pPr>
    </w:p>
    <w:p>
      <w:pPr>
        <w:ind w:left="960" w:hanging="476"/>
        <w:spacing w:after="0" w:line="296" w:lineRule="auto"/>
        <w:tabs>
          <w:tab w:leader="none" w:pos="9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the redemption price to the relevant Member in accordance with the terms specified in the notice of redemption. Payment may be made in cash, by cheque, or by any other method as determined by the Board of Directors.</w:t>
      </w:r>
    </w:p>
    <w:p>
      <w:pPr>
        <w:spacing w:after="0" w:line="113" w:lineRule="exact"/>
        <w:rPr>
          <w:rFonts w:ascii="Times New Roman" w:cs="Times New Roman" w:eastAsia="Times New Roman" w:hAnsi="Times New Roman"/>
          <w:sz w:val="13"/>
          <w:szCs w:val="13"/>
          <w:color w:val="auto"/>
        </w:rPr>
      </w:pPr>
    </w:p>
    <w:p>
      <w:pPr>
        <w:jc w:val="both"/>
        <w:ind w:left="960" w:hanging="476"/>
        <w:spacing w:after="0" w:line="270" w:lineRule="auto"/>
        <w:tabs>
          <w:tab w:leader="none" w:pos="9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redemption price shall bear interest against the Company. Any redemption price which cannot be paid to a Member and/or which remains unclaimed after six months from the date on which such redemption price is due to be paid may, in the discretion of the Directors, be paid into a separate account in the Company’s name, provided that the Company shall not be constituted as a trustee in respect of that account and the redemption price shall remain as a debt due to the Member. Any redemption price which remains unclaimed after a period of six years from the date on which such redemption price is due to be paid shall be forfeited and shall revert to the Company.</w:t>
      </w:r>
    </w:p>
    <w:p>
      <w:pPr>
        <w:spacing w:after="0" w:line="29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15240</wp:posOffset>
            </wp:positionV>
            <wp:extent cx="716724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0800"/>
          </w:cols>
          <w:pgMar w:left="780" w:top="287" w:right="319" w:bottom="1440" w:gutter="0" w:footer="0" w:header="0"/>
        </w:sectPr>
      </w:pPr>
    </w:p>
    <w:bookmarkStart w:id="58" w:name="page59"/>
    <w:bookmarkEnd w:id="58"/>
    <w:p>
      <w:pPr>
        <w:ind w:left="1440" w:hanging="476"/>
        <w:spacing w:after="0"/>
        <w:tabs>
          <w:tab w:leader="none" w:pos="14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of any Class B Ordinary Share from any holder shall not oblige the Company to redeem any other Class B Ordinary Share from any other holder.</w:t>
      </w:r>
    </w:p>
    <w:p>
      <w:pPr>
        <w:spacing w:after="0" w:line="171" w:lineRule="exact"/>
        <w:rPr>
          <w:rFonts w:ascii="Times New Roman" w:cs="Times New Roman" w:eastAsia="Times New Roman" w:hAnsi="Times New Roman"/>
          <w:sz w:val="13"/>
          <w:szCs w:val="13"/>
          <w:color w:val="auto"/>
        </w:rPr>
      </w:pPr>
    </w:p>
    <w:p>
      <w:pPr>
        <w:ind w:left="1440" w:hanging="476"/>
        <w:spacing w:after="0"/>
        <w:tabs>
          <w:tab w:leader="none" w:pos="14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of shares shall be conducted in compliance with the laws of the Cayman Islands and any other applicable regulations.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80" w:type="dxa"/>
            <w:vAlign w:val="bottom"/>
          </w:tcPr>
          <w:p>
            <w:pPr>
              <w:ind w:left="4000"/>
              <w:spacing w:after="0"/>
              <w:rPr>
                <w:sz w:val="20"/>
                <w:szCs w:val="20"/>
                <w:color w:val="auto"/>
              </w:rPr>
            </w:pPr>
            <w:r>
              <w:rPr>
                <w:rFonts w:ascii="Times New Roman" w:cs="Times New Roman" w:eastAsia="Times New Roman" w:hAnsi="Times New Roman"/>
                <w:sz w:val="13"/>
                <w:szCs w:val="13"/>
                <w:b w:val="1"/>
                <w:bCs w:val="1"/>
                <w:color w:val="auto"/>
              </w:rPr>
              <w:t>CONVERSION OF SHARES</w:t>
            </w:r>
          </w:p>
        </w:tc>
      </w:tr>
      <w:tr>
        <w:trPr>
          <w:trHeight w:val="309"/>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6B.</w:t>
            </w: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w:t>
            </w: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Each Class B Ordinary Share shall be convertible, at the option of the holder thereof, with the consent of the Directors by a majority of no less than two-thirds of the votes at a Board meeting</w:t>
            </w:r>
          </w:p>
        </w:tc>
      </w:tr>
      <w:tr>
        <w:trPr>
          <w:trHeight w:val="161"/>
        </w:trPr>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or by the written resolutions of all the Directors, at any time after the date of issuance of such Share, into one fully paid and non-assessable Class A Ordinary Share. A holder of Class B</w:t>
            </w:r>
          </w:p>
        </w:tc>
      </w:tr>
      <w:tr>
        <w:trPr>
          <w:trHeight w:val="161"/>
        </w:trPr>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Ordinary Shares may request conversion of all or any of its Class B Ordinary Shares by delivering a written request to the Company, at the office of the Company or any transfer agent for such</w:t>
            </w:r>
          </w:p>
        </w:tc>
      </w:tr>
      <w:tr>
        <w:trPr>
          <w:trHeight w:val="157"/>
        </w:trPr>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 specifying the number of Class B Ordinary Shares that it wishes to convert into Class A Ordinary Shares, accompanied by the share certificate(s) (if any) representing the Class B</w:t>
            </w:r>
          </w:p>
        </w:tc>
      </w:tr>
      <w:tr>
        <w:trPr>
          <w:trHeight w:val="177"/>
        </w:trPr>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Ordinary Shares to be converted (the “</w:t>
            </w:r>
            <w:r>
              <w:rPr>
                <w:rFonts w:ascii="Times New Roman" w:cs="Times New Roman" w:eastAsia="Times New Roman" w:hAnsi="Times New Roman"/>
                <w:sz w:val="13"/>
                <w:szCs w:val="13"/>
                <w:b w:val="1"/>
                <w:bCs w:val="1"/>
                <w:color w:val="auto"/>
              </w:rPr>
              <w:t>Existing Share Certificate</w:t>
            </w:r>
            <w:r>
              <w:rPr>
                <w:rFonts w:ascii="Times New Roman" w:cs="Times New Roman" w:eastAsia="Times New Roman" w:hAnsi="Times New Roman"/>
                <w:sz w:val="13"/>
                <w:szCs w:val="13"/>
                <w:color w:val="auto"/>
              </w:rPr>
              <w:t>”).</w:t>
            </w:r>
          </w:p>
        </w:tc>
      </w:tr>
      <w:tr>
        <w:trPr>
          <w:trHeight w:val="321"/>
        </w:trPr>
        <w:tc>
          <w:tcPr>
            <w:tcW w:w="3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w:t>
            </w: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 no event shall Class A Ordinary Shares be converted into Class B Ordinary Shares under any circumstances.</w:t>
            </w:r>
          </w:p>
        </w:tc>
      </w:tr>
      <w:tr>
        <w:trPr>
          <w:trHeight w:val="307"/>
        </w:trPr>
        <w:tc>
          <w:tcPr>
            <w:tcW w:w="3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w:t>
            </w: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Any conversion of Class B Ordinary Shares into Class A Ordinary Shares pursuant to Article 6A(c) or this Article 6B shall be effected by means of the re-designation and re-classification of</w:t>
            </w:r>
          </w:p>
        </w:tc>
      </w:tr>
      <w:tr>
        <w:trPr>
          <w:trHeight w:val="163"/>
        </w:trPr>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the relevant Class B Ordinary Share as a Class A Ordinary Share, and upon such conversion such shares shall have the same rights and restrictions as, and shall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all respects</w:t>
            </w:r>
          </w:p>
        </w:tc>
      </w:tr>
      <w:tr>
        <w:trPr>
          <w:trHeight w:val="161"/>
        </w:trPr>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the Class A Ordinary Shares then in issue. Such conversion shall become effective forthwith upon being approved by the Board in accordance with Article 6B(a) above, and entries shall</w:t>
            </w:r>
          </w:p>
        </w:tc>
      </w:tr>
      <w:tr>
        <w:trPr>
          <w:trHeight w:val="173"/>
        </w:trPr>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be made in the Register to record the re-designation and re-classification of the relevant Class B Ordinary Shares as Class A Ordinary Shares.</w:t>
            </w:r>
          </w:p>
        </w:tc>
      </w:tr>
      <w:tr>
        <w:trPr>
          <w:trHeight w:val="309"/>
        </w:trPr>
        <w:tc>
          <w:tcPr>
            <w:tcW w:w="3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w:t>
            </w: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Upon conversion of any Class B Ordinary Shares, and subject to receipt of the Existing Share Certificate in respect of such Class B Ordinary Shares, the Company shall cancel the Existing</w:t>
            </w:r>
          </w:p>
        </w:tc>
      </w:tr>
      <w:tr>
        <w:trPr>
          <w:trHeight w:val="161"/>
        </w:trPr>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 Certificate, and issue new share certificate(s) in respect of the Class A Ordinary Shares resulting from the conversion to the holder thereof, together with a new share certificate for any</w:t>
            </w:r>
          </w:p>
        </w:tc>
      </w:tr>
      <w:tr>
        <w:trPr>
          <w:trHeight w:val="173"/>
        </w:trPr>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unconverted Class B Ordinary Shares represented by the Existing Shares Certificate.</w:t>
            </w:r>
          </w:p>
        </w:tc>
      </w:tr>
      <w:tr>
        <w:trPr>
          <w:trHeight w:val="321"/>
        </w:trPr>
        <w:tc>
          <w:tcPr>
            <w:tcW w:w="3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w:t>
            </w:r>
          </w:p>
        </w:tc>
        <w:tc>
          <w:tcPr>
            <w:tcW w:w="10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Any and all taxes and stamp, issue and registration duties (if any) arising on conversion shall be borne by the holder of Class B Ordinary Shares requesting conversion.</w:t>
            </w:r>
          </w:p>
        </w:tc>
      </w:tr>
      <w:tr>
        <w:trPr>
          <w:trHeight w:val="482"/>
        </w:trPr>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ind w:left="4780"/>
              <w:spacing w:after="0"/>
              <w:rPr>
                <w:sz w:val="20"/>
                <w:szCs w:val="20"/>
                <w:color w:val="auto"/>
              </w:rPr>
            </w:pPr>
            <w:r>
              <w:rPr>
                <w:rFonts w:ascii="Times New Roman" w:cs="Times New Roman" w:eastAsia="Times New Roman" w:hAnsi="Times New Roman"/>
                <w:sz w:val="13"/>
                <w:szCs w:val="13"/>
                <w:color w:val="auto"/>
              </w:rPr>
              <w:t>11</w:t>
            </w:r>
          </w:p>
        </w:tc>
      </w:tr>
    </w:tbl>
    <w:p>
      <w:pPr>
        <w:sectPr>
          <w:pgSz w:w="11900" w:h="16838" w:orient="portrait"/>
          <w:cols w:equalWidth="0" w:num="1">
            <w:col w:w="11280"/>
          </w:cols>
          <w:pgMar w:left="300" w:top="287"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3"/>
          <w:szCs w:val="13"/>
          <w:b w:val="1"/>
          <w:bCs w:val="1"/>
          <w:color w:val="auto"/>
        </w:rPr>
        <w:t>ISSUE OF SHARES</w:t>
      </w:r>
    </w:p>
    <w:p>
      <w:pPr>
        <w:spacing w:after="0" w:line="176" w:lineRule="exact"/>
        <w:rPr>
          <w:sz w:val="20"/>
          <w:szCs w:val="20"/>
          <w:color w:val="auto"/>
        </w:rPr>
      </w:pPr>
    </w:p>
    <w:p>
      <w:pPr>
        <w:jc w:val="both"/>
        <w:ind w:left="480" w:hanging="480"/>
        <w:spacing w:after="0" w:line="267" w:lineRule="auto"/>
        <w:tabs>
          <w:tab w:leader="none" w:pos="4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if any, in the Memorandum of Association, and subject to Article 6A above, the Directors may, in their absolute discretion and without approval of the holders of Ordinary Shares, cause the Company to issue such amounts of Ordinary Shares and/or preferred shares (whether in certificated form or non-certificated form), grant rights over existing shares or issue other securities in one or more series as they deem necessary and appropriate and determine designations, powers, preferences, privileges and other rights, including dividend rights, voting rights, conversion rights, terms of redemption and liquidation preferences, any or all of which may be greater than the powers and rights associated with the Ordinary Shares, at such times and on such other terms as they think proper. The Company shall not issue shares in bearer form.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REGISTER OF MEMBERS AND SHARE CERTIFICATES</w:t>
      </w:r>
    </w:p>
    <w:p>
      <w:pPr>
        <w:spacing w:after="0" w:line="176" w:lineRule="exact"/>
        <w:rPr>
          <w:sz w:val="20"/>
          <w:szCs w:val="20"/>
          <w:color w:val="auto"/>
        </w:rPr>
      </w:pPr>
    </w:p>
    <w:p>
      <w:pPr>
        <w:jc w:val="both"/>
        <w:ind w:left="480" w:hanging="480"/>
        <w:spacing w:after="0" w:line="267" w:lineRule="auto"/>
        <w:tabs>
          <w:tab w:leader="none" w:pos="4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maintain a Register of Members and every person whose name is entered as a Member in the Register of Members shall, without payment, be entitled to a certificate within two months after allotment or lodgement of transfer (or within such other period as the conditions of issue shall provide)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32"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share certificate of the Company shall bear legends required under the applicable laws, including the Securities Act.</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25"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shares are held jointly by several persons, any request may be made by any one of the joint holders and if so made shall be binding on all of the joint 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3"/>
          <w:szCs w:val="13"/>
          <w:b w:val="1"/>
          <w:bCs w:val="1"/>
          <w:color w:val="auto"/>
        </w:rPr>
        <w:t>TRANSFER OF SHARES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25"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instruments of transfer that shall be registered shall be retained by the Company.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REDEMPTION AND PURCHASE OF OWN SHARES</w:t>
      </w:r>
    </w:p>
    <w:p>
      <w:pPr>
        <w:spacing w:after="0" w:line="176" w:lineRule="exact"/>
        <w:rPr>
          <w:sz w:val="20"/>
          <w:szCs w:val="20"/>
          <w:color w:val="auto"/>
        </w:rPr>
      </w:pPr>
    </w:p>
    <w:p>
      <w:pPr>
        <w:ind w:left="480" w:hanging="480"/>
        <w:spacing w:after="0"/>
        <w:tabs>
          <w:tab w:leader="none" w:pos="4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 Statutes and these Articles, the Company may:</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shares on terms that they are to be redeemed or are liable to be redeemed at the option of the Member or the Company on such terms and in such manner as the Board may, before the issue of the shares, determine;</w:t>
      </w:r>
    </w:p>
    <w:p>
      <w:pPr>
        <w:spacing w:after="0" w:line="113"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its own shares (including any redeemable shares) in such manner and on such other terms as determined by the Board in their sole discretion and agreed with the relevant Member, provided however that:</w:t>
      </w:r>
    </w:p>
    <w:p>
      <w:pPr>
        <w:spacing w:after="0" w:line="113" w:lineRule="exact"/>
        <w:rPr>
          <w:rFonts w:ascii="Times New Roman" w:cs="Times New Roman" w:eastAsia="Times New Roman" w:hAnsi="Times New Roman"/>
          <w:sz w:val="13"/>
          <w:szCs w:val="13"/>
          <w:color w:val="auto"/>
        </w:rPr>
      </w:pPr>
    </w:p>
    <w:p>
      <w:pPr>
        <w:ind w:left="1440" w:hanging="476"/>
        <w:spacing w:after="0"/>
        <w:tabs>
          <w:tab w:leader="none" w:pos="1440" w:val="left"/>
        </w:tabs>
        <w:numPr>
          <w:ilvl w:val="2"/>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repurchase transactions shall be in accordance with the relevant code, rules and regulations applicable to the listing of the shares on the Designated Stock Exchange; and</w:t>
      </w:r>
    </w:p>
    <w:p>
      <w:pPr>
        <w:spacing w:after="0" w:line="171" w:lineRule="exact"/>
        <w:rPr>
          <w:rFonts w:ascii="Times New Roman" w:cs="Times New Roman" w:eastAsia="Times New Roman" w:hAnsi="Times New Roman"/>
          <w:sz w:val="13"/>
          <w:szCs w:val="13"/>
          <w:color w:val="auto"/>
        </w:rPr>
      </w:pPr>
    </w:p>
    <w:p>
      <w:pPr>
        <w:ind w:left="1440" w:hanging="476"/>
        <w:spacing w:after="0"/>
        <w:tabs>
          <w:tab w:leader="none" w:pos="1440" w:val="left"/>
        </w:tabs>
        <w:numPr>
          <w:ilvl w:val="2"/>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time of the repurchase, the Company is able to pay its debts as they fall due in the ordinary course of its business.</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 payment in respect of the redemption or purchase of its own shares in any manner permitted by the Statutes, including out of capital.</w:t>
      </w:r>
    </w:p>
    <w:p>
      <w:pPr>
        <w:spacing w:after="0" w:line="171"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of any share shall not oblige the Company to purchase any other share other than as may be required pursuant to applicable law and any other contractual obligations of the Company.</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of the shares being purchased shall be bound to deliver up to the Company at its registered office or such other place as the Board shall specify, the certificate(s) (if any) thereof for cancellation and thereupon the Company shall pay to him the purchase or redemption monies or consideration in respect thereof.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VARIATION OF RIGHTS ATTACHING TO SHARES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61" w:name="page62"/>
    <w:bookmarkEnd w:id="61"/>
    <w:p>
      <w:pPr>
        <w:ind w:left="480" w:hanging="480"/>
        <w:spacing w:after="0" w:line="296" w:lineRule="auto"/>
        <w:tabs>
          <w:tab w:leader="none" w:pos="4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or by proxy may demand a poll.</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conferred upon the holders of the shares of any class shall not, unless otherwise expressly provided by the terms of issue of the shares of that class, be deemed to be varied by the creation or issue of further shares ranking in priority to or pari passu therewith.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ON SALE OF SHARES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NON-RECOGNITION OF TRUSTS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LIEN ON SHARES</w:t>
      </w:r>
    </w:p>
    <w:p>
      <w:pPr>
        <w:spacing w:after="0" w:line="176" w:lineRule="exact"/>
        <w:rPr>
          <w:sz w:val="20"/>
          <w:szCs w:val="20"/>
          <w:color w:val="auto"/>
        </w:rPr>
      </w:pPr>
    </w:p>
    <w:p>
      <w:pPr>
        <w:jc w:val="both"/>
        <w:ind w:left="480" w:hanging="480"/>
        <w:spacing w:after="0" w:line="270" w:lineRule="auto"/>
        <w:tabs>
          <w:tab w:leader="none" w:pos="4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30"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to the persons entitled thereto by reason of the death or bankruptcy of such registered holder.</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2" w:name="page63"/>
    <w:bookmarkEnd w:id="62"/>
    <w:p>
      <w:pPr>
        <w:jc w:val="both"/>
        <w:ind w:left="480" w:hanging="480"/>
        <w:spacing w:after="0" w:line="277" w:lineRule="auto"/>
        <w:tabs>
          <w:tab w:leader="none" w:pos="4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give effect to any such sale, the Directors may authorise any person to transfer the shares sold to, or in accordance with the direction of, the purchaser thereof.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these Articles.</w:t>
      </w:r>
    </w:p>
    <w:p>
      <w:pPr>
        <w:spacing w:after="0" w:line="125"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CALLS ON SHARES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25"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joint holders of a share shall be jointly and severally liable to pay calls in respect thereof.</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sum called in respect of a share is not paid before or on the day appointed for payment thereof, the person from whom the sum is due shall pay interest upon the sum from the day appointed for the payment thereof to the time of the actual payment at such rate as the Directors may determine, but the Directors may waive payment of that interest wholly or in part.</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payable in respect of a share on allotment or at any fixed date, whether on account of the par value of the share or premium or otherwise, shall be deemed to be a call and if it is not paid all the provisions of these Articles shall apply as if that amount had become due and payable by virtue of a call duly made and notified.</w:t>
      </w:r>
    </w:p>
    <w:p>
      <w:pPr>
        <w:spacing w:after="0" w:line="113"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make arrangements on the issue of shares for a difference between the Members, or the particular shares, in the amount of calls to be paid and in the times of payment.</w:t>
      </w:r>
    </w:p>
    <w:p>
      <w:pPr>
        <w:spacing w:after="0" w:line="171"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if they think fit, receive from any Member willing to advance the same all or any part of the moneys uncalled and unpaid upon any shares held by him, and upon all or any of the moneys so advanced may (until the same would otherwise become payable) pay interest at such rate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3"/>
          <w:szCs w:val="13"/>
          <w:b w:val="1"/>
          <w:bCs w:val="1"/>
          <w:color w:val="auto"/>
        </w:rPr>
        <w:t>FORFEITURE OF SHARES</w:t>
      </w:r>
    </w:p>
    <w:p>
      <w:pPr>
        <w:spacing w:after="0" w:line="176" w:lineRule="exact"/>
        <w:rPr>
          <w:sz w:val="20"/>
          <w:szCs w:val="20"/>
          <w:color w:val="auto"/>
        </w:rPr>
      </w:pPr>
    </w:p>
    <w:p>
      <w:pPr>
        <w:ind w:left="480" w:hanging="480"/>
        <w:spacing w:after="0" w:line="296"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forfeited share may be sold, re-allotted or otherwise disposed of on such terms and in such manner as the Directors think fit, and at any time before a sale, re-allotment or disposition the forfeiture may be cancelled on such terms as the Directors think fit.</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whose shares have been forfeited shall cease to be a Member in respect of the forfeited shares, but shall, notwithstanding the forfeiture, remain liable to pay to the Company all moneys which at the date of forfeiture were payable by him to the Company in respect of the shares, but his liability shall cease if and when the Company receives payment in full of all monies due and payable by him with respect to those shares.</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30"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these Articles as to forfeiture shall apply in the case of non-payment of any sum which by the terms of issue of a share becomes due and payable, whether on account of the par value of the share, or by way of premium, as if the same had been payable by virtue of a call duly made and notified.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OF EMPOWERING INSTRUMENTS</w:t>
      </w:r>
    </w:p>
    <w:p>
      <w:pPr>
        <w:spacing w:after="0" w:line="176" w:lineRule="exact"/>
        <w:rPr>
          <w:sz w:val="20"/>
          <w:szCs w:val="20"/>
          <w:color w:val="auto"/>
        </w:rPr>
      </w:pPr>
    </w:p>
    <w:p>
      <w:pPr>
        <w:ind w:left="480" w:hanging="480"/>
        <w:spacing w:after="0" w:line="296" w:lineRule="auto"/>
        <w:tabs>
          <w:tab w:leader="none" w:pos="4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3"/>
          <w:szCs w:val="13"/>
          <w:b w:val="1"/>
          <w:bCs w:val="1"/>
          <w:color w:val="auto"/>
        </w:rPr>
        <w:t>TRANSMISSION OF SHARES</w:t>
      </w:r>
    </w:p>
    <w:p>
      <w:pPr>
        <w:spacing w:after="0" w:line="176" w:lineRule="exact"/>
        <w:rPr>
          <w:sz w:val="20"/>
          <w:szCs w:val="20"/>
          <w:color w:val="auto"/>
        </w:rPr>
      </w:pPr>
    </w:p>
    <w:p>
      <w:pPr>
        <w:ind w:left="480" w:hanging="480"/>
        <w:spacing w:after="0" w:line="296" w:lineRule="auto"/>
        <w:tabs>
          <w:tab w:leader="none" w:pos="4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becoming entitled to a share in consequence of the death or bankruptcy or liquidation or dissolution of a Member (or in any other way than by transfer) shall upon such evidence being produced as may from time to time be properly required by the Directors, have the right either to be registered as a Member in respect of the share or, instead of being registered himself, to have some person nominated by him as the transferee. If the person so becoming entitled shall elect to be registered himself as holder he shall deliver or send to the Company a notice in writing signed by him stating that he so elects.</w:t>
      </w:r>
    </w:p>
    <w:p>
      <w:pPr>
        <w:spacing w:after="0" w:line="130" w:lineRule="exact"/>
        <w:rPr>
          <w:rFonts w:ascii="Times New Roman" w:cs="Times New Roman" w:eastAsia="Times New Roman" w:hAnsi="Times New Roman"/>
          <w:sz w:val="13"/>
          <w:szCs w:val="13"/>
          <w:color w:val="auto"/>
        </w:rPr>
      </w:pPr>
    </w:p>
    <w:p>
      <w:pPr>
        <w:jc w:val="both"/>
        <w:ind w:left="480" w:hanging="480"/>
        <w:spacing w:after="0" w:line="267" w:lineRule="auto"/>
        <w:tabs>
          <w:tab w:leader="none" w:pos="4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becoming entitled to a share by reason of the death or bankruptcy or liquidation or dissolution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ALTERATION OF CAPITAL</w:t>
      </w:r>
    </w:p>
    <w:p>
      <w:pPr>
        <w:spacing w:after="0" w:line="176" w:lineRule="exact"/>
        <w:rPr>
          <w:sz w:val="20"/>
          <w:szCs w:val="20"/>
          <w:color w:val="auto"/>
        </w:rPr>
      </w:pPr>
    </w:p>
    <w:p>
      <w:pPr>
        <w:ind w:left="480" w:hanging="480"/>
        <w:spacing w:after="0" w:line="296" w:lineRule="auto"/>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Company may from time to time by Ordinary Resolution increase the share capital by such sum, to be divided into shares of such classes and amount, as the resolution shall prescribe.</w:t>
      </w:r>
    </w:p>
    <w:p>
      <w:pPr>
        <w:spacing w:after="0" w:line="113"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Company may by Ordinary Resolution:</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 and divide all or any of its share capital into shares of larger amount than its existing shares;</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13"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any shares which, at the date of the passing of the resolution, have not been taken or agreed to be taken by any person and diminish the amount of its share capital by the amount of the shares so cancelled.</w:t>
      </w:r>
    </w:p>
    <w:p>
      <w:pPr>
        <w:spacing w:after="0" w:line="113"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by Special Resolution reduce its share capital and any capital redemption reserve in any manner authorized by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65" w:name="page66"/>
    <w:bookmarkEnd w:id="65"/>
    <w:p>
      <w:pPr>
        <w:ind w:left="480" w:hanging="480"/>
        <w:spacing w:after="0" w:line="268" w:lineRule="auto"/>
        <w:tabs>
          <w:tab w:leader="none" w:pos="4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new shares created hereunder shall be subject to the same provisions with reference to the payment of calls, liens, transfer, transmission, forfeiture and otherwise as the shares in the original share capital.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CLOSING REGISTER OF MEMBERS OR FIXING RECORD DATE</w:t>
      </w:r>
    </w:p>
    <w:p>
      <w:pPr>
        <w:spacing w:after="0" w:line="176" w:lineRule="exact"/>
        <w:rPr>
          <w:sz w:val="20"/>
          <w:szCs w:val="20"/>
          <w:color w:val="auto"/>
        </w:rPr>
      </w:pPr>
    </w:p>
    <w:p>
      <w:pPr>
        <w:jc w:val="both"/>
        <w:ind w:left="480" w:hanging="480"/>
        <w:spacing w:after="0" w:line="267" w:lineRule="auto"/>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32"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or apart from closing the Register of Members, the Directors may fix in advance or arrears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GENERAL MEETINGS</w:t>
      </w:r>
    </w:p>
    <w:p>
      <w:pPr>
        <w:spacing w:after="0" w:line="176" w:lineRule="exact"/>
        <w:rPr>
          <w:sz w:val="20"/>
          <w:szCs w:val="20"/>
          <w:color w:val="auto"/>
        </w:rPr>
      </w:pPr>
    </w:p>
    <w:p>
      <w:pPr>
        <w:ind w:left="480" w:hanging="480"/>
        <w:spacing w:after="0"/>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general meetings of the Company other than annual general meetings shall be called extraordinary general meetings.</w:t>
      </w:r>
    </w:p>
    <w:p>
      <w:pPr>
        <w:spacing w:after="0" w:line="171"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(a)The Company may hold an annual general meeting but shall not (unless required by the Companies Act) be obliged to hold an annual general meeting.</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these meetings the report of the Directors (if any) shall be presented.</w:t>
      </w:r>
    </w:p>
    <w:p>
      <w:pPr>
        <w:spacing w:after="0" w:line="171"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(a)The Directors may call general meetings, and they shall on a Members requisition forthwith proceed to convene an extraordinary general meeting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6" w:name="page67"/>
    <w:bookmarkEnd w:id="66"/>
    <w:p>
      <w:pPr>
        <w:ind w:left="960" w:hanging="478"/>
        <w:spacing w:after="0" w:line="296" w:lineRule="auto"/>
        <w:tabs>
          <w:tab w:leader="none" w:pos="9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Members requisition is a requisition of Members of the Company holding at the date of deposit of the requisition not less than one-third of the share capital of the Company as at that date carries the right of voting at general meetings of the Company.</w:t>
      </w:r>
    </w:p>
    <w:p>
      <w:pPr>
        <w:spacing w:after="0" w:line="113"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13" w:lineRule="exact"/>
        <w:rPr>
          <w:rFonts w:ascii="Times New Roman" w:cs="Times New Roman" w:eastAsia="Times New Roman" w:hAnsi="Times New Roman"/>
          <w:sz w:val="13"/>
          <w:szCs w:val="13"/>
          <w:color w:val="auto"/>
        </w:rPr>
      </w:pPr>
    </w:p>
    <w:p>
      <w:pPr>
        <w:jc w:val="both"/>
        <w:ind w:left="960" w:hanging="478"/>
        <w:spacing w:after="0" w:line="277" w:lineRule="auto"/>
        <w:tabs>
          <w:tab w:leader="none" w:pos="9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125"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general meeting convened as aforesaid by requisitionists shall be convened in the same manner as nearly as possible as that in which general meetings are to be convened by Directors.</w:t>
      </w:r>
    </w:p>
    <w:p>
      <w:pPr>
        <w:spacing w:after="0" w:line="167" w:lineRule="exact"/>
        <w:rPr>
          <w:rFonts w:ascii="Times New Roman" w:cs="Times New Roman" w:eastAsia="Times New Roman" w:hAnsi="Times New Roman"/>
          <w:sz w:val="13"/>
          <w:szCs w:val="13"/>
          <w:color w:val="auto"/>
        </w:rPr>
      </w:pPr>
    </w:p>
    <w:p>
      <w:pPr>
        <w:ind w:left="4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NOTICE OF GENERAL MEETINGS</w:t>
      </w:r>
    </w:p>
    <w:p>
      <w:pPr>
        <w:spacing w:after="0" w:line="175"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14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these Articles regarding general meetings have been complied with, be deemed to have been duly convened if it is so agreed:</w:t>
      </w:r>
    </w:p>
    <w:p>
      <w:pPr>
        <w:spacing w:after="0" w:line="130"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 annual general meeting by all the Members (or their proxies) entitled to attend and vote thereat; and</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 extraordinary general meeting by a majority in number of the Members (or their proxies) having a right to attend and vote at the meeting, being a majority together holding not less than ninety five per cent in par value of the shares giving that right.</w:t>
      </w:r>
    </w:p>
    <w:p>
      <w:pPr>
        <w:spacing w:after="0" w:line="113" w:lineRule="exact"/>
        <w:rPr>
          <w:sz w:val="20"/>
          <w:szCs w:val="20"/>
          <w:color w:val="auto"/>
        </w:rPr>
      </w:pPr>
    </w:p>
    <w:p>
      <w:pPr>
        <w:ind w:left="480" w:hanging="480"/>
        <w:spacing w:after="0"/>
        <w:tabs>
          <w:tab w:leader="none" w:pos="4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accidental omission to give notice of a meeting to or the non-receipt of a notice of a meeting by any Member shall not invalidate the proceedings at any meeting.</w:t>
      </w:r>
    </w:p>
    <w:p>
      <w:pPr>
        <w:spacing w:after="0" w:line="167" w:lineRule="exact"/>
        <w:rPr>
          <w:rFonts w:ascii="Times New Roman" w:cs="Times New Roman" w:eastAsia="Times New Roman" w:hAnsi="Times New Roman"/>
          <w:sz w:val="13"/>
          <w:szCs w:val="13"/>
          <w:color w:val="auto"/>
        </w:rPr>
      </w:pPr>
    </w:p>
    <w:p>
      <w:pPr>
        <w:ind w:left="4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PROCEEDINGS AT GENERAL MEETINGS</w:t>
      </w:r>
    </w:p>
    <w:p>
      <w:pPr>
        <w:spacing w:after="0" w:line="175"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business shall be transacted at any general meeting unless a quorum of Members is present at the time when the meeting proceeds to business. Members holding not less than an aggregate of one-third of all voting share capital of the Company in issue present in person or by proxy or, if a corporation or other non-natural person, by its duly authorised representative or proxy and entitled to vote shall be a quorum for all purposes.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7" w:name="page68"/>
    <w:bookmarkEnd w:id="67"/>
    <w:p>
      <w:pPr>
        <w:jc w:val="both"/>
        <w:ind w:left="480" w:hanging="480"/>
        <w:spacing w:after="0" w:line="277" w:lineRule="auto"/>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or to such other day, time and place as the Directors may determine, and if at the adjourned meeting a quorum is not present within half an hour from the time appointed for the meeting, the meeting shall be dissolved.</w:t>
      </w:r>
    </w:p>
    <w:p>
      <w:pPr>
        <w:spacing w:after="0" w:line="125"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Chairman of the Board of Directors shall preside as chairman at every general meeting of the Company.</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30"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general meeting a resolution put to the vote of the meeting shall be decided on a show of hands, unless a poll is (before or on the declaration of the result of the show of hands) demanded by the chairman or one or more Members present in person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30"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poll demanded on the election of a chairman or on a question of adjournment shall be taken forthwith. A poll demanded on any other question shall be taken at such time as the chairman of the meeting directs.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b w:val="1"/>
          <w:bCs w:val="1"/>
          <w:color w:val="auto"/>
        </w:rPr>
        <w:t>VOTES OF MEMBERS</w:t>
      </w:r>
    </w:p>
    <w:p>
      <w:pPr>
        <w:spacing w:after="0" w:line="176" w:lineRule="exact"/>
        <w:rPr>
          <w:sz w:val="20"/>
          <w:szCs w:val="20"/>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any rights and restrictions for the time being attached to any class or classes of shares, every Member who (being an individual) is present in person or by proxy or, if a corporation or other non-natural person, who is present by its duly authorised representative or proxy, at a general meeting of the Company shall have:</w:t>
      </w:r>
    </w:p>
    <w:p>
      <w:pPr>
        <w:spacing w:after="0" w:line="113"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show of hands, one vote; and</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poll, one vote for each Class A Ordinary Share registered in his or her name in the Register, and one hundred (100) votes for each Class B Ordinary Share registered in his or her name in the Register, on any and all matters subject to a vote at such meeting.</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shall be entitled to vote at any general meeting unless he is registered as a Member on the record date for such meeting nor unless all calls or other sums presently payable by him in respect of shares in the Company have been paid.</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poll or on a show of hands, votes may be given either personally or by proxy. A Member may appoint more than one proxy or the same proxy under one or more instruments to attend and vote at a meeting. Where a Member appoints more than one proxy, the instrument of proxy shall state which proxy is entitled to vote on a show of hands.</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objection shall be raised to the qualification of any voter except at the general meeting or adjourned general meeting at which the vote objected to is given or tendered and every vote not disallowed at the meeting shall be valid. Any objection made in due time shall be referred to the chairman whose decision shall be final and conclusive.</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w:t>
      </w:r>
    </w:p>
    <w:p>
      <w:pPr>
        <w:spacing w:after="0" w:line="125"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in writing signed (in one or more counterparts) by all the Members for the time being entitled to receive notice of and to attend and vote at general meetings (or, being corporations or other non-natural persons, signed by their duly authorized representatives) shall be as valid and effective as if the same had been passed at a general meeting of the Company duly convened and held.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b w:val="1"/>
          <w:bCs w:val="1"/>
          <w:color w:val="auto"/>
        </w:rPr>
        <w:t>PROXIES</w:t>
      </w:r>
    </w:p>
    <w:p>
      <w:pPr>
        <w:spacing w:after="0" w:line="176" w:lineRule="exact"/>
        <w:rPr>
          <w:sz w:val="20"/>
          <w:szCs w:val="20"/>
          <w:color w:val="auto"/>
        </w:rPr>
      </w:pPr>
    </w:p>
    <w:p>
      <w:pPr>
        <w:ind w:left="480" w:hanging="480"/>
        <w:spacing w:after="0" w:line="296" w:lineRule="auto"/>
        <w:tabs>
          <w:tab w:leader="none" w:pos="4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13"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less than 48 hours before the time for holding the meeting or adjourned meeting at which the person named in the instrument proposes to vote; or</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poll taken more than 48 hours after it is demanded, be deposited as aforesaid after the poll has been demanded and not less than 24 hours before the time appointed for the taking of the poll; or</w:t>
      </w:r>
    </w:p>
    <w:p>
      <w:pPr>
        <w:spacing w:after="0" w:line="113"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poll is not taken forthwith but is taken not more than 48 hours after it was demanded be delivered at the meeting at which the poll was demanded to the chairman or to the secretary or to any director;</w:t>
      </w:r>
    </w:p>
    <w:p>
      <w:pPr>
        <w:spacing w:after="0" w:line="111" w:lineRule="exact"/>
        <w:rPr>
          <w:sz w:val="20"/>
          <w:szCs w:val="20"/>
          <w:color w:val="auto"/>
        </w:rPr>
      </w:pPr>
    </w:p>
    <w:p>
      <w:pPr>
        <w:jc w:val="both"/>
        <w:ind w:left="480"/>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the Directors may in the notice convening the meeting, or in an instrument of proxy sent out by the Company, direct that the instrument appointing a proxy may be deposited (no later than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30" w:lineRule="exact"/>
        <w:rPr>
          <w:sz w:val="20"/>
          <w:szCs w:val="20"/>
          <w:color w:val="auto"/>
        </w:rPr>
      </w:pPr>
    </w:p>
    <w:p>
      <w:pPr>
        <w:ind w:left="480" w:hanging="480"/>
        <w:spacing w:after="0" w:line="296" w:lineRule="auto"/>
        <w:tabs>
          <w:tab w:leader="none" w:pos="4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confer authority to demand or join in demanding a poll.</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CORPORATIONS ACTING BY REPRESENTATIVES AT MEETING</w:t>
      </w:r>
    </w:p>
    <w:p>
      <w:pPr>
        <w:spacing w:after="0" w:line="176" w:lineRule="exact"/>
        <w:rPr>
          <w:sz w:val="20"/>
          <w:szCs w:val="20"/>
          <w:color w:val="auto"/>
        </w:rPr>
      </w:pPr>
    </w:p>
    <w:p>
      <w:pPr>
        <w:jc w:val="both"/>
        <w:ind w:left="480" w:hanging="480"/>
        <w:spacing w:after="0" w:line="277" w:lineRule="auto"/>
        <w:tabs>
          <w:tab w:leader="none" w:pos="4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3"/>
          <w:szCs w:val="13"/>
          <w:b w:val="1"/>
          <w:bCs w:val="1"/>
          <w:color w:val="auto"/>
        </w:rPr>
        <w:t>CLEARING HOUSES</w:t>
      </w:r>
    </w:p>
    <w:p>
      <w:pPr>
        <w:spacing w:after="0" w:line="176" w:lineRule="exact"/>
        <w:rPr>
          <w:sz w:val="20"/>
          <w:szCs w:val="20"/>
          <w:color w:val="auto"/>
        </w:rPr>
      </w:pPr>
    </w:p>
    <w:p>
      <w:pPr>
        <w:jc w:val="both"/>
        <w:ind w:left="480" w:hanging="480"/>
        <w:spacing w:after="0" w:line="267" w:lineRule="auto"/>
        <w:tabs>
          <w:tab w:leader="none" w:pos="4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clearing house (or its nominee) is a Member,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76" w:lineRule="exact"/>
        <w:rPr>
          <w:sz w:val="20"/>
          <w:szCs w:val="20"/>
          <w:color w:val="auto"/>
        </w:rPr>
      </w:pPr>
    </w:p>
    <w:p>
      <w:pPr>
        <w:ind w:left="960" w:hanging="960"/>
        <w:spacing w:after="0" w:line="296" w:lineRule="auto"/>
        <w:tabs>
          <w:tab w:leader="none" w:pos="47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(A)Unless otherwise determined by the Company in general meeting, the number of Directors shall not be less than three Directors. The Directors shall be elected or appointed in the first place by the subscribers to the Memorandum of Association or by a majority of them and thereafter by the Members at general meeting.</w:t>
      </w:r>
    </w:p>
    <w:p>
      <w:pPr>
        <w:spacing w:after="0" w:line="113"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Director shall hold office until the expiration of his term and until his successor shall have been elected and qualified.</w:t>
      </w:r>
    </w:p>
    <w:p>
      <w:pPr>
        <w:spacing w:after="0" w:line="171" w:lineRule="exact"/>
        <w:rPr>
          <w:rFonts w:ascii="Times New Roman" w:cs="Times New Roman" w:eastAsia="Times New Roman" w:hAnsi="Times New Roman"/>
          <w:sz w:val="13"/>
          <w:szCs w:val="13"/>
          <w:color w:val="auto"/>
        </w:rPr>
      </w:pPr>
    </w:p>
    <w:p>
      <w:pPr>
        <w:jc w:val="both"/>
        <w:ind w:left="960" w:hanging="478"/>
        <w:spacing w:after="0" w:line="270" w:lineRule="auto"/>
        <w:tabs>
          <w:tab w:leader="none" w:pos="96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shall have a Chairman of the Board of Directors (the “Chairman”) removed,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p>
      <w:pPr>
        <w:spacing w:after="0" w:line="130"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and the Companies Act, the Company may by Ordinary Resolution elect any person to be a Director either to fill a casual vacancy on the Board or as an addition to the existing Board.</w:t>
      </w:r>
    </w:p>
    <w:p>
      <w:pPr>
        <w:spacing w:after="0" w:line="113" w:lineRule="exact"/>
        <w:rPr>
          <w:rFonts w:ascii="Times New Roman" w:cs="Times New Roman" w:eastAsia="Times New Roman" w:hAnsi="Times New Roman"/>
          <w:sz w:val="13"/>
          <w:szCs w:val="13"/>
          <w:color w:val="auto"/>
        </w:rPr>
      </w:pPr>
    </w:p>
    <w:p>
      <w:pPr>
        <w:jc w:val="both"/>
        <w:ind w:left="960" w:hanging="478"/>
        <w:spacing w:after="0" w:line="274" w:lineRule="auto"/>
        <w:tabs>
          <w:tab w:leader="none" w:pos="96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by the affirmative vote of a simple majority of the Directors present and voting at a Board meeting, or the sole Director if there is only one Director, shall have the power from time to time and at any time to appoint any person as a Director to fill a casual vacancy on the Board or as an addition to the existing Board, subject to the Company’s compliance with director nomination procedures required under applicable corporate governance rules of the Designated Stock Exchange, as long as the Company’s securities are traded on the Designated Stock Exchange.</w:t>
      </w:r>
    </w:p>
    <w:p>
      <w:pPr>
        <w:spacing w:after="0" w:line="291" w:lineRule="exact"/>
        <w:rPr>
          <w:rFonts w:ascii="Times New Roman" w:cs="Times New Roman" w:eastAsia="Times New Roman" w:hAnsi="Times New Roman"/>
          <w:sz w:val="13"/>
          <w:szCs w:val="13"/>
          <w:color w:val="auto"/>
        </w:rPr>
      </w:pPr>
    </w:p>
    <w:p>
      <w:pPr>
        <w:jc w:val="both"/>
        <w:ind w:left="480" w:hanging="480"/>
        <w:spacing w:after="0" w:line="289" w:lineRule="auto"/>
        <w:tabs>
          <w:tab w:leader="none" w:pos="4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Article 78, a Director may be removed from office by Special Resolution or the affirmative vote of a simple majority of the other Directors present and voting at a Board meeting at any time before the expiration of his term notwithstanding anything in these Articles or in any agreement between the Company and such Director (but without prejudice to any claim for damages under such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71" w:name="page72"/>
    <w:bookmarkEnd w:id="71"/>
    <w:p>
      <w:pPr>
        <w:ind w:left="480" w:hanging="480"/>
        <w:spacing w:after="0" w:line="296" w:lineRule="auto"/>
        <w:tabs>
          <w:tab w:leader="none" w:pos="4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vacancy on the Board created by the removal of a Director under the provisions of Article 79 above may be filled by the election or appointment by Ordinary Resolution at the meeting at which such Director is removed or by the affirmative vote of a simple majority of the remaining Directors present and voting at a Board meeting.</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89" w:lineRule="auto"/>
        <w:tabs>
          <w:tab w:leader="none" w:pos="4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may, from time to time, and except as required by applicable law or the listing rules of the Designated Stock Exchange,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282"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shall not be required to hold any shares in the Company by way of qualification. A Director who is not a Member of the Company shall nevertheless be entitled to receive notice of and to attend and speak at general meetings of the Company and of all classes of shares of the Company.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 FEES AND EXPENSES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receive such remuneration as the Board may from time to time determine. The Directors may be entitled to be repaid all traveling,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ALTERNATE DIRECTOR</w:t>
      </w:r>
    </w:p>
    <w:p>
      <w:pPr>
        <w:spacing w:after="0" w:line="176" w:lineRule="exact"/>
        <w:rPr>
          <w:sz w:val="20"/>
          <w:szCs w:val="20"/>
          <w:color w:val="auto"/>
        </w:rPr>
      </w:pPr>
    </w:p>
    <w:p>
      <w:pPr>
        <w:jc w:val="both"/>
        <w:ind w:left="480" w:hanging="480"/>
        <w:spacing w:after="0" w:line="265" w:lineRule="auto"/>
        <w:tabs>
          <w:tab w:leader="none" w:pos="4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An alternate Director shall be deemed for all purposes to be a Director and shall alone be responsible for his own acts and defaults and shall not be deemed to be the agent of the Director appointing him. An alternate Director shall cease to be an alternate Director if his appointor ceases to be a Director. Any appointment or removal of an alternate Director shall be by notice to the Company signed by the Director making or revoking the appointment or in any other manner approved by the Directors.</w:t>
      </w:r>
    </w:p>
    <w:p>
      <w:pPr>
        <w:spacing w:after="0" w:line="134"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3"/>
          <w:szCs w:val="13"/>
          <w:b w:val="1"/>
          <w:bCs w:val="1"/>
          <w:color w:val="auto"/>
        </w:rPr>
        <w:t>POWERS AND DUTIES OF DIRECTORS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67" w:lineRule="auto"/>
        <w:tabs>
          <w:tab w:leader="none" w:pos="4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President, one or more Vice Presidents, Chief Operating Officer,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32"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30"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73" w:name="page74"/>
    <w:bookmarkEnd w:id="73"/>
    <w:p>
      <w:pPr>
        <w:jc w:val="both"/>
        <w:ind w:left="480" w:hanging="480"/>
        <w:spacing w:after="0" w:line="270" w:lineRule="auto"/>
        <w:tabs>
          <w:tab w:leader="none" w:pos="4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30"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delegates as aforesaid may be authorized by the Directors to subdelegate all or any of the powers, authorities, and discretions for the time being vested to them.</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DISQUALIFICATION OF DIRECTORS</w:t>
      </w:r>
    </w:p>
    <w:p>
      <w:pPr>
        <w:spacing w:after="0" w:line="176" w:lineRule="exact"/>
        <w:rPr>
          <w:sz w:val="20"/>
          <w:szCs w:val="20"/>
          <w:color w:val="auto"/>
        </w:rPr>
      </w:pPr>
    </w:p>
    <w:p>
      <w:pPr>
        <w:ind w:left="480" w:hanging="480"/>
        <w:spacing w:after="0"/>
        <w:tabs>
          <w:tab w:leader="none" w:pos="4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Articles 78 and 79, the office of Director shall be vacated, if the Director:</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becomes bankrupt or makes any arrangement or composition with his creditors;</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found to be or becomes of unsound mind;</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resigns his office by notice in writing to the Company;</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special leave of absence from the Board, is absent from meetings of the Board for six consecutive months and the Board resolves that his office be vacated; or</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he shall be removed from office pursuant to these Articles or the Statutes.</w:t>
      </w:r>
    </w:p>
    <w:p>
      <w:pPr>
        <w:spacing w:after="0" w:line="16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PROCEEDINGS OF DIRECTORS</w:t>
      </w:r>
    </w:p>
    <w:p>
      <w:pPr>
        <w:spacing w:after="0" w:line="176" w:lineRule="exact"/>
        <w:rPr>
          <w:sz w:val="20"/>
          <w:szCs w:val="20"/>
          <w:color w:val="auto"/>
        </w:rPr>
      </w:pPr>
    </w:p>
    <w:p>
      <w:pPr>
        <w:jc w:val="both"/>
        <w:ind w:left="480" w:hanging="480"/>
        <w:spacing w:after="0" w:line="267" w:lineRule="auto"/>
        <w:tabs>
          <w:tab w:leader="none" w:pos="4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meet together (whether within or outside the Cayman Islands) for the dispatch of business, adjourn, and otherwise regulate their meetings and proceedings as they think fit. A question or proposal which arises at a Board meeting shall be decided, resolved, approved or adopted by a majority of no less than two-thirds of votes which are cast by the Directors present and voting at such Board meeting (save and except for those matters stipulated in Articles 78(C) and (E) and Article 80 which may be approved by the affirmative vote of a simple majority of the Directors as specified therein). In case of an equality of votes, the Chairman of the meeting shall not be entitled to a second or casting vote. A Director may at any time summon a meeting of the Directors by at least three Business Days’ notice to every other Director and alternate Director.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74" w:name="page75"/>
    <w:bookmarkEnd w:id="74"/>
    <w:p>
      <w:pPr>
        <w:jc w:val="both"/>
        <w:ind w:left="480" w:hanging="480"/>
        <w:spacing w:after="0" w:line="277" w:lineRule="auto"/>
        <w:tabs>
          <w:tab w:leader="none" w:pos="4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70" w:lineRule="auto"/>
        <w:tabs>
          <w:tab w:leader="none" w:pos="4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w:t>
      </w:r>
    </w:p>
    <w:p>
      <w:pPr>
        <w:spacing w:after="0" w:line="130" w:lineRule="exact"/>
        <w:rPr>
          <w:rFonts w:ascii="Times New Roman" w:cs="Times New Roman" w:eastAsia="Times New Roman" w:hAnsi="Times New Roman"/>
          <w:sz w:val="13"/>
          <w:szCs w:val="13"/>
          <w:color w:val="auto"/>
        </w:rPr>
      </w:pPr>
    </w:p>
    <w:p>
      <w:pPr>
        <w:jc w:val="both"/>
        <w:ind w:left="480" w:hanging="480"/>
        <w:spacing w:after="0" w:line="267" w:lineRule="auto"/>
        <w:tabs>
          <w:tab w:leader="none" w:pos="4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a shareholder, director,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32" w:lineRule="exact"/>
        <w:rPr>
          <w:rFonts w:ascii="Times New Roman" w:cs="Times New Roman" w:eastAsia="Times New Roman" w:hAnsi="Times New Roman"/>
          <w:sz w:val="13"/>
          <w:szCs w:val="13"/>
          <w:color w:val="auto"/>
        </w:rPr>
      </w:pPr>
    </w:p>
    <w:p>
      <w:pPr>
        <w:jc w:val="both"/>
        <w:ind w:left="480" w:hanging="480"/>
        <w:spacing w:after="0" w:line="265" w:lineRule="auto"/>
        <w:tabs>
          <w:tab w:leader="none" w:pos="4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295"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Director may act by himself or his firm in a professional capacity for the Company, and he or his firm shall be entitled to remuneration for professional services as if he were not a Director;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nothing herein contained shall authorise a Director or his firm to act as auditor to the Company.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75" w:name="page76"/>
    <w:bookmarkEnd w:id="75"/>
    <w:p>
      <w:pPr>
        <w:ind w:left="480" w:hanging="480"/>
        <w:spacing w:after="0"/>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cause minutes to be made in books or loose-leaf folders provided for the purpose of recording:</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appointments of officers made by the Directors;</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names of the Directors present at each meeting of the Directors and of any committee of the Directors; and</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resolutions and proceedings at all meetings of the Company, and of the Directors and of committees of Directors.</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Directors may act notwithstanding any vacancy in their body but if and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committee appointed by the Directors may meet and adjourn as it thinks proper. A question or proposal which arises at a meeting of a committee shall be decided, resolved, approved or adopted by a majority of no less than two-thirds of the votes which are cast by the committee members present and voting at such meeting, and in case of an equality of votes, the Chairman of the meeting shall not be entitled to a second or casting vote.</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89" w:lineRule="auto"/>
        <w:tabs>
          <w:tab w:leader="none" w:pos="4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b w:val="1"/>
          <w:bCs w:val="1"/>
          <w:color w:val="auto"/>
        </w:rPr>
        <w:t>PRESUMPTION OF ASSENT</w:t>
      </w:r>
    </w:p>
    <w:p>
      <w:pPr>
        <w:spacing w:after="0" w:line="176" w:lineRule="exact"/>
        <w:rPr>
          <w:sz w:val="20"/>
          <w:szCs w:val="20"/>
          <w:color w:val="auto"/>
        </w:rPr>
      </w:pPr>
    </w:p>
    <w:p>
      <w:pPr>
        <w:jc w:val="both"/>
        <w:ind w:left="480" w:hanging="480"/>
        <w:spacing w:after="0" w:line="274" w:lineRule="auto"/>
        <w:tabs>
          <w:tab w:leader="none" w:pos="4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DIVIDENDS, DISTRIBUTIONS AND RESERVE</w:t>
      </w:r>
    </w:p>
    <w:p>
      <w:pPr>
        <w:spacing w:after="0" w:line="176" w:lineRule="exact"/>
        <w:rPr>
          <w:sz w:val="20"/>
          <w:szCs w:val="20"/>
          <w:color w:val="auto"/>
        </w:rPr>
      </w:pPr>
    </w:p>
    <w:p>
      <w:pPr>
        <w:ind w:left="480" w:hanging="480"/>
        <w:spacing w:after="0" w:line="296" w:lineRule="auto"/>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may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25"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25"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when paying dividends to the Members in accordance with the foregoing provisions may make such payment either in cash or in specie.</w:t>
      </w:r>
    </w:p>
    <w:p>
      <w:pPr>
        <w:spacing w:after="0" w:line="171"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 shall be paid otherwise than out of profits or, subject to the restrictions of the Companies Act, the share premium account.</w:t>
      </w:r>
    </w:p>
    <w:p>
      <w:pPr>
        <w:spacing w:after="0" w:line="171"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77" w:name="page78"/>
    <w:bookmarkEnd w:id="77"/>
    <w:p>
      <w:pPr>
        <w:ind w:left="480" w:hanging="480"/>
        <w:spacing w:after="0"/>
        <w:tabs>
          <w:tab w:leader="none" w:pos="4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several persons are registered as joint holders of any share, any of them may give effectual receipts for any dividend or other moneys payable on or in respect of the share.</w:t>
      </w:r>
    </w:p>
    <w:p>
      <w:pPr>
        <w:spacing w:after="0" w:line="171" w:lineRule="exact"/>
        <w:rPr>
          <w:rFonts w:ascii="Times New Roman" w:cs="Times New Roman" w:eastAsia="Times New Roman" w:hAnsi="Times New Roman"/>
          <w:sz w:val="13"/>
          <w:szCs w:val="13"/>
          <w:color w:val="auto"/>
        </w:rPr>
      </w:pPr>
    </w:p>
    <w:p>
      <w:pPr>
        <w:jc w:val="both"/>
        <w:ind w:left="480" w:hanging="480"/>
        <w:spacing w:after="0" w:line="274" w:lineRule="auto"/>
        <w:tabs>
          <w:tab w:leader="none" w:pos="48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dividend shall bear interest against the Company. Any dividend which cannot be paid to a Member and/or which remains unclaimed after six months from the date of declaration of such dividend may, in the discretion of the Directors, be paid into a separate account in the Company’s name,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shall not be constituted as a trustee in respect of that account and the Dividend shall remain as a debt due to the Member. Any Dividend which remains unclaimed after a period of six years from the date of declaration of such Dividend shall be forfeited and shall revert to the Company.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BOOK OF ACCOUNTS</w:t>
      </w:r>
    </w:p>
    <w:p>
      <w:pPr>
        <w:spacing w:after="0" w:line="176" w:lineRule="exact"/>
        <w:rPr>
          <w:sz w:val="20"/>
          <w:szCs w:val="20"/>
          <w:color w:val="auto"/>
        </w:rPr>
      </w:pPr>
    </w:p>
    <w:p>
      <w:pPr>
        <w:ind w:left="480" w:hanging="480"/>
        <w:spacing w:after="0"/>
        <w:tabs>
          <w:tab w:leader="none" w:pos="4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books of account relating to the Company’s affairs shall be kept in such manner as may be determined from time to time by the Directors.</w:t>
      </w:r>
    </w:p>
    <w:p>
      <w:pPr>
        <w:spacing w:after="0" w:line="171"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books of account shall be kept at such place or places as the Directors think fit, and shall always be open to the inspection of the Directors.</w:t>
      </w:r>
    </w:p>
    <w:p>
      <w:pPr>
        <w:spacing w:after="0" w:line="171"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125"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accounts relating to the Company’s affairs shall be audited in such manner and with such financial year end as may be determined from time to time by the Company by Ordinary Resolution or failing any such determination by the Directors.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ANNUAL RETURNS AND FILINGS</w:t>
      </w:r>
    </w:p>
    <w:p>
      <w:pPr>
        <w:spacing w:after="0" w:line="176" w:lineRule="exact"/>
        <w:rPr>
          <w:sz w:val="20"/>
          <w:szCs w:val="20"/>
          <w:color w:val="auto"/>
        </w:rPr>
      </w:pPr>
    </w:p>
    <w:p>
      <w:pPr>
        <w:ind w:left="480" w:hanging="480"/>
        <w:spacing w:after="0"/>
        <w:tabs>
          <w:tab w:leader="none" w:pos="4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shall make the requisite annual returns and any other requisite filings in accordance with the Companies Act.</w:t>
      </w:r>
    </w:p>
    <w:p>
      <w:pPr>
        <w:spacing w:after="0" w:line="167" w:lineRule="exact"/>
        <w:rPr>
          <w:rFonts w:ascii="Times New Roman" w:cs="Times New Roman" w:eastAsia="Times New Roman" w:hAnsi="Times New Roman"/>
          <w:sz w:val="13"/>
          <w:szCs w:val="13"/>
          <w:color w:val="auto"/>
        </w:rPr>
      </w:pPr>
    </w:p>
    <w:p>
      <w:pPr>
        <w:ind w:left="5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AUDIT</w:t>
      </w:r>
    </w:p>
    <w:p>
      <w:pPr>
        <w:spacing w:after="0" w:line="175"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appoint an Auditor of the Company who shall hold office until removed from office by a resolution of the Directors and may fix his or their remuneration.</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77" w:lineRule="auto"/>
        <w:tabs>
          <w:tab w:leader="none" w:pos="4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3"/>
          <w:szCs w:val="13"/>
          <w:b w:val="1"/>
          <w:bCs w:val="1"/>
          <w:color w:val="auto"/>
        </w:rPr>
        <w:t>THE SEAL</w:t>
      </w:r>
    </w:p>
    <w:p>
      <w:pPr>
        <w:spacing w:after="0" w:line="176" w:lineRule="exact"/>
        <w:rPr>
          <w:sz w:val="20"/>
          <w:szCs w:val="20"/>
          <w:color w:val="auto"/>
        </w:rPr>
      </w:pPr>
    </w:p>
    <w:p>
      <w:pPr>
        <w:ind w:left="480" w:hanging="480"/>
        <w:spacing w:after="0" w:line="296" w:lineRule="auto"/>
        <w:tabs>
          <w:tab w:leader="none" w:pos="4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OFFICERS</w:t>
      </w:r>
    </w:p>
    <w:p>
      <w:pPr>
        <w:spacing w:after="0" w:line="176" w:lineRule="exact"/>
        <w:rPr>
          <w:sz w:val="20"/>
          <w:szCs w:val="20"/>
          <w:color w:val="auto"/>
        </w:rPr>
      </w:pPr>
    </w:p>
    <w:p>
      <w:pPr>
        <w:jc w:val="both"/>
        <w:ind w:left="480" w:hanging="480"/>
        <w:spacing w:after="0" w:line="277" w:lineRule="auto"/>
        <w:tabs>
          <w:tab w:leader="none" w:pos="4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prejudice to Article 88, the Company may have a Chief Executive Officer, President, Chief Operating Officer and Chief Financial Officer,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CAPITALISATION OF PROFITS</w:t>
      </w:r>
    </w:p>
    <w:p>
      <w:pPr>
        <w:spacing w:after="0" w:line="176" w:lineRule="exact"/>
        <w:rPr>
          <w:sz w:val="20"/>
          <w:szCs w:val="20"/>
          <w:color w:val="auto"/>
        </w:rPr>
      </w:pPr>
    </w:p>
    <w:p>
      <w:pPr>
        <w:ind w:left="480" w:hanging="480"/>
        <w:spacing w:after="0"/>
        <w:tabs>
          <w:tab w:leader="none" w:pos="4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Statutes and these Articles, the Board may, with the authority of an Ordinary Resolution:</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resolve to capitalise an amount standing to the credit of reserves (including a share premium account, capital redemption reserve and profit and loss account), whether or not available for distribution;</w:t>
      </w:r>
    </w:p>
    <w:p>
      <w:pPr>
        <w:spacing w:after="0" w:line="113"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appropriate the sum resolved to be capitalised to the Members in proportion to the nominal amount of shares (whether or not fully paid) held by them respectively and apply that sum on their behalf in or towards:</w:t>
      </w:r>
    </w:p>
    <w:p>
      <w:pPr>
        <w:spacing w:after="0" w:line="113" w:lineRule="exact"/>
        <w:rPr>
          <w:rFonts w:ascii="Times New Roman" w:cs="Times New Roman" w:eastAsia="Times New Roman" w:hAnsi="Times New Roman"/>
          <w:sz w:val="13"/>
          <w:szCs w:val="13"/>
          <w:color w:val="auto"/>
        </w:rPr>
      </w:pPr>
    </w:p>
    <w:p>
      <w:pPr>
        <w:ind w:left="1440" w:hanging="476"/>
        <w:spacing w:after="0"/>
        <w:tabs>
          <w:tab w:leader="none" w:pos="1440" w:val="left"/>
        </w:tabs>
        <w:numPr>
          <w:ilvl w:val="2"/>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paying up the amounts (if any) for the time being unpaid on shares held by them respectively; or</w:t>
      </w:r>
    </w:p>
    <w:p>
      <w:pPr>
        <w:spacing w:after="0" w:line="171" w:lineRule="exact"/>
        <w:rPr>
          <w:rFonts w:ascii="Times New Roman" w:cs="Times New Roman" w:eastAsia="Times New Roman" w:hAnsi="Times New Roman"/>
          <w:sz w:val="13"/>
          <w:szCs w:val="13"/>
          <w:color w:val="auto"/>
        </w:rPr>
      </w:pPr>
    </w:p>
    <w:p>
      <w:pPr>
        <w:ind w:left="1440" w:hanging="476"/>
        <w:spacing w:after="0"/>
        <w:tabs>
          <w:tab w:leader="none" w:pos="1440" w:val="left"/>
        </w:tabs>
        <w:numPr>
          <w:ilvl w:val="2"/>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paying up in full unissued shares or debentures of a nominal amount equal to that sum,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79" w:name="page80"/>
    <w:bookmarkEnd w:id="79"/>
    <w:p>
      <w:pPr>
        <w:jc w:val="both"/>
        <w:ind w:left="960"/>
        <w:spacing w:after="0" w:line="277" w:lineRule="auto"/>
        <w:rPr>
          <w:sz w:val="20"/>
          <w:szCs w:val="20"/>
          <w:color w:val="auto"/>
        </w:rPr>
      </w:pPr>
      <w:r>
        <w:rPr>
          <w:rFonts w:ascii="Times New Roman" w:cs="Times New Roman" w:eastAsia="Times New Roman" w:hAnsi="Times New Roman"/>
          <w:sz w:val="13"/>
          <w:szCs w:val="13"/>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125" w:lineRule="exact"/>
        <w:rPr>
          <w:sz w:val="20"/>
          <w:szCs w:val="20"/>
          <w:color w:val="auto"/>
        </w:rPr>
      </w:pPr>
    </w:p>
    <w:p>
      <w:pPr>
        <w:ind w:left="960" w:hanging="478"/>
        <w:spacing w:after="0" w:line="296" w:lineRule="auto"/>
        <w:tabs>
          <w:tab w:leader="none" w:pos="9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13"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authorise a person to enter (on behalf of all the Members concerned) an agreement with the Company providing for either:</w:t>
      </w:r>
    </w:p>
    <w:p>
      <w:pPr>
        <w:spacing w:after="0" w:line="171" w:lineRule="exact"/>
        <w:rPr>
          <w:rFonts w:ascii="Times New Roman" w:cs="Times New Roman" w:eastAsia="Times New Roman" w:hAnsi="Times New Roman"/>
          <w:sz w:val="13"/>
          <w:szCs w:val="13"/>
          <w:color w:val="auto"/>
        </w:rPr>
      </w:pPr>
    </w:p>
    <w:p>
      <w:pPr>
        <w:ind w:left="1440" w:hanging="476"/>
        <w:spacing w:after="0"/>
        <w:tabs>
          <w:tab w:leader="none" w:pos="1440"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allotment to the Members respectively, credited as fully paid, of shares or debentures to which they may be entitled on the capitalization; or</w:t>
      </w:r>
    </w:p>
    <w:p>
      <w:pPr>
        <w:spacing w:after="0" w:line="171" w:lineRule="exact"/>
        <w:rPr>
          <w:rFonts w:ascii="Times New Roman" w:cs="Times New Roman" w:eastAsia="Times New Roman" w:hAnsi="Times New Roman"/>
          <w:sz w:val="13"/>
          <w:szCs w:val="13"/>
          <w:color w:val="auto"/>
        </w:rPr>
      </w:pPr>
    </w:p>
    <w:p>
      <w:pPr>
        <w:ind w:left="1440" w:hanging="476"/>
        <w:spacing w:after="0" w:line="296" w:lineRule="auto"/>
        <w:tabs>
          <w:tab w:leader="none" w:pos="1440"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1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an agreement made under the authority being effective and binding on all those Members; and</w:t>
      </w:r>
    </w:p>
    <w:p>
      <w:pPr>
        <w:spacing w:after="0" w:line="172" w:lineRule="exact"/>
        <w:rPr>
          <w:sz w:val="20"/>
          <w:szCs w:val="20"/>
          <w:color w:val="auto"/>
        </w:rPr>
      </w:pPr>
    </w:p>
    <w:p>
      <w:pPr>
        <w:ind w:left="960" w:hanging="478"/>
        <w:spacing w:after="0"/>
        <w:tabs>
          <w:tab w:leader="none" w:pos="96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generally do all acts and things required to give effect to the resolution.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NOTICES</w:t>
      </w:r>
    </w:p>
    <w:p>
      <w:pPr>
        <w:spacing w:after="0" w:line="176" w:lineRule="exact"/>
        <w:rPr>
          <w:sz w:val="20"/>
          <w:szCs w:val="20"/>
          <w:color w:val="auto"/>
        </w:rPr>
      </w:pPr>
    </w:p>
    <w:p>
      <w:pPr>
        <w:jc w:val="both"/>
        <w:ind w:left="480" w:hanging="480"/>
        <w:spacing w:after="0" w:line="267" w:lineRule="auto"/>
        <w:tabs>
          <w:tab w:leader="none" w:pos="4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32"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Notices posted to addresses outside the Cayman Islands shall be forwarded by prepaid airmail.</w:t>
      </w:r>
    </w:p>
    <w:p>
      <w:pPr>
        <w:spacing w:after="0" w:line="171"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113" w:lineRule="exact"/>
        <w:rPr>
          <w:rFonts w:ascii="Times New Roman" w:cs="Times New Roman" w:eastAsia="Times New Roman" w:hAnsi="Times New Roman"/>
          <w:sz w:val="13"/>
          <w:szCs w:val="13"/>
          <w:color w:val="auto"/>
        </w:rPr>
      </w:pPr>
    </w:p>
    <w:p>
      <w:pPr>
        <w:jc w:val="both"/>
        <w:ind w:left="480" w:hanging="480"/>
        <w:spacing w:after="0" w:line="267" w:lineRule="auto"/>
        <w:tabs>
          <w:tab w:leader="none" w:pos="48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notice or other document, if served by (a) post, shall be deemed to have been served five calendar days after the time when the letter containing the same is posted,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0" w:name="page81"/>
    <w:bookmarkEnd w:id="80"/>
    <w:p>
      <w:pPr>
        <w:jc w:val="both"/>
        <w:ind w:left="480" w:hanging="480"/>
        <w:spacing w:after="0" w:line="270" w:lineRule="auto"/>
        <w:tabs>
          <w:tab w:leader="none" w:pos="4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30"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Notice of every general meeting shall be given to:</w:t>
      </w:r>
    </w:p>
    <w:p>
      <w:pPr>
        <w:spacing w:after="0" w:line="171" w:lineRule="exact"/>
        <w:rPr>
          <w:rFonts w:ascii="Times New Roman" w:cs="Times New Roman" w:eastAsia="Times New Roman" w:hAnsi="Times New Roman"/>
          <w:sz w:val="13"/>
          <w:szCs w:val="13"/>
          <w:color w:val="auto"/>
        </w:rPr>
      </w:pPr>
    </w:p>
    <w:p>
      <w:pPr>
        <w:ind w:left="960" w:hanging="488"/>
        <w:spacing w:after="0"/>
        <w:tabs>
          <w:tab w:leader="none" w:pos="96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Members who have supplied to the Company an address for the giving of notices to them;</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person entitled to a share in consequence of the death or bankruptcy of a Member, who but for his death or bankruptcy would be entitled to receive notice of the meeting; and</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Director and Alternate Director.</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 other person shall be entitled to receive notices of general meetings.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w:t>
      </w:r>
    </w:p>
    <w:p>
      <w:pPr>
        <w:spacing w:after="0" w:line="176" w:lineRule="exact"/>
        <w:rPr>
          <w:sz w:val="20"/>
          <w:szCs w:val="20"/>
          <w:color w:val="auto"/>
        </w:rPr>
      </w:pPr>
    </w:p>
    <w:p>
      <w:pPr>
        <w:ind w:left="480" w:hanging="480"/>
        <w:spacing w:after="0" w:line="296" w:lineRule="auto"/>
        <w:tabs>
          <w:tab w:leader="none" w:pos="4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to communicate to the public.</w:t>
      </w:r>
    </w:p>
    <w:p>
      <w:pPr>
        <w:spacing w:after="0" w:line="113" w:lineRule="exact"/>
        <w:rPr>
          <w:rFonts w:ascii="Times New Roman" w:cs="Times New Roman" w:eastAsia="Times New Roman" w:hAnsi="Times New Roman"/>
          <w:sz w:val="13"/>
          <w:szCs w:val="13"/>
          <w:color w:val="auto"/>
        </w:rPr>
      </w:pPr>
    </w:p>
    <w:p>
      <w:pPr>
        <w:ind w:left="480" w:hanging="480"/>
        <w:spacing w:after="0" w:line="296" w:lineRule="auto"/>
        <w:tabs>
          <w:tab w:leader="none" w:pos="48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INDEMNITY</w:t>
      </w:r>
    </w:p>
    <w:p>
      <w:pPr>
        <w:spacing w:after="0" w:line="176" w:lineRule="exact"/>
        <w:rPr>
          <w:sz w:val="20"/>
          <w:szCs w:val="20"/>
          <w:color w:val="auto"/>
        </w:rPr>
      </w:pPr>
    </w:p>
    <w:p>
      <w:pPr>
        <w:jc w:val="both"/>
        <w:ind w:left="480" w:hanging="480"/>
        <w:spacing w:after="0" w:line="267" w:lineRule="auto"/>
        <w:tabs>
          <w:tab w:leader="none" w:pos="4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fullest extent permissible under the Companies Act, 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132" w:lineRule="exact"/>
        <w:rPr>
          <w:rFonts w:ascii="Times New Roman" w:cs="Times New Roman" w:eastAsia="Times New Roman" w:hAnsi="Times New Roman"/>
          <w:sz w:val="13"/>
          <w:szCs w:val="13"/>
          <w:color w:val="auto"/>
        </w:rPr>
      </w:pPr>
    </w:p>
    <w:p>
      <w:pPr>
        <w:ind w:left="480" w:hanging="480"/>
        <w:spacing w:after="0"/>
        <w:tabs>
          <w:tab w:leader="none" w:pos="4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such Director or officer of the Company shall be liable to the Company for any loss or damage unless such liability arises through the willful neglect or default of such Director or officer.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FINANCIAL YEAR</w:t>
      </w:r>
    </w:p>
    <w:p>
      <w:pPr>
        <w:spacing w:after="0" w:line="162" w:lineRule="exact"/>
        <w:rPr>
          <w:sz w:val="20"/>
          <w:szCs w:val="20"/>
          <w:color w:val="auto"/>
        </w:rPr>
      </w:pPr>
    </w:p>
    <w:p>
      <w:pPr>
        <w:ind w:left="480" w:hanging="480"/>
        <w:spacing w:after="0"/>
        <w:tabs>
          <w:tab w:leader="none" w:pos="480" w:val="left"/>
        </w:tabs>
        <w:numPr>
          <w:ilvl w:val="0"/>
          <w:numId w:val="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color w:val="auto"/>
        </w:rPr>
        <w:t>Unless the Directors otherwise prescribe, the financial year of the Company shall end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3"/>
          <w:szCs w:val="13"/>
          <w:color w:val="auto"/>
        </w:rPr>
        <w:t xml:space="preserve"> in each year and shall begin on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3"/>
          <w:szCs w:val="13"/>
          <w:color w:val="auto"/>
        </w:rPr>
        <w:t xml:space="preserve"> in each year.</w:t>
      </w:r>
    </w:p>
    <w:p>
      <w:pPr>
        <w:spacing w:after="0" w:line="55" w:lineRule="exact"/>
        <w:rPr>
          <w:rFonts w:ascii="Times New Roman" w:cs="Times New Roman" w:eastAsia="Times New Roman" w:hAnsi="Times New Roman"/>
          <w:sz w:val="27"/>
          <w:szCs w:val="27"/>
          <w:color w:val="auto"/>
          <w:vertAlign w:val="superscript"/>
        </w:rPr>
      </w:pPr>
    </w:p>
    <w:p>
      <w:pPr>
        <w:ind w:left="52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b w:val="1"/>
          <w:bCs w:val="1"/>
          <w:color w:val="auto"/>
        </w:rPr>
        <w:t>WINDING UP</w:t>
      </w:r>
    </w:p>
    <w:p>
      <w:pPr>
        <w:spacing w:after="0" w:line="171" w:lineRule="exact"/>
        <w:rPr>
          <w:rFonts w:ascii="Times New Roman" w:cs="Times New Roman" w:eastAsia="Times New Roman" w:hAnsi="Times New Roman"/>
          <w:sz w:val="27"/>
          <w:szCs w:val="27"/>
          <w:color w:val="auto"/>
          <w:vertAlign w:val="superscript"/>
        </w:rPr>
      </w:pPr>
    </w:p>
    <w:p>
      <w:pPr>
        <w:jc w:val="both"/>
        <w:ind w:left="480" w:hanging="480"/>
        <w:spacing w:after="0" w:line="267" w:lineRule="auto"/>
        <w:tabs>
          <w:tab w:leader="none" w:pos="4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OF MEMORANDUM AND ARTICLES OF ASSOCIATION AND NAME OF COMPANY</w:t>
      </w:r>
    </w:p>
    <w:p>
      <w:pPr>
        <w:spacing w:after="0" w:line="176" w:lineRule="exact"/>
        <w:rPr>
          <w:sz w:val="20"/>
          <w:szCs w:val="20"/>
          <w:color w:val="auto"/>
        </w:rPr>
      </w:pPr>
    </w:p>
    <w:p>
      <w:pPr>
        <w:ind w:left="480" w:hanging="480"/>
        <w:spacing w:after="0" w:line="296" w:lineRule="auto"/>
        <w:tabs>
          <w:tab w:leader="none" w:pos="4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Companies Act and these Articles, the Company may at any time and from time to time by Special Resolution alter or amend these Articles or the Memorandum of Association of the Company, in whole or in part, or change the name of the Company.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BY WAY OF CONTINUATION</w:t>
      </w:r>
    </w:p>
    <w:p>
      <w:pPr>
        <w:spacing w:after="0" w:line="176" w:lineRule="exact"/>
        <w:rPr>
          <w:sz w:val="20"/>
          <w:szCs w:val="20"/>
          <w:color w:val="auto"/>
        </w:rPr>
      </w:pPr>
    </w:p>
    <w:p>
      <w:pPr>
        <w:jc w:val="both"/>
        <w:ind w:left="480" w:hanging="480"/>
        <w:spacing w:after="0" w:line="270" w:lineRule="auto"/>
        <w:tabs>
          <w:tab w:leader="none" w:pos="4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3" w:right="319" w:bottom="1440" w:gutter="0" w:footer="0" w:header="0"/>
        </w:sectPr>
      </w:pPr>
    </w:p>
    <w:bookmarkStart w:id="82" w:name="page83"/>
    <w:bookmarkEnd w:id="82"/>
    <w:p>
      <w:pPr>
        <w:ind w:left="9400"/>
        <w:spacing w:after="0"/>
        <w:rPr>
          <w:sz w:val="20"/>
          <w:szCs w:val="20"/>
          <w:color w:val="auto"/>
        </w:rPr>
      </w:pPr>
      <w:r>
        <w:rPr>
          <w:rFonts w:ascii="Times New Roman" w:cs="Times New Roman" w:eastAsia="Times New Roman" w:hAnsi="Times New Roman"/>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135255</wp:posOffset>
            </wp:positionV>
            <wp:extent cx="5101590" cy="37560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5101590" cy="3756025"/>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75640" cy="650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75640"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Our ref</w:t>
      </w:r>
      <w:r>
        <w:rPr>
          <w:sz w:val="20"/>
          <w:szCs w:val="20"/>
          <w:color w:val="auto"/>
        </w:rPr>
        <w:tab/>
      </w:r>
      <w:r>
        <w:rPr>
          <w:rFonts w:ascii="Times New Roman" w:cs="Times New Roman" w:eastAsia="Times New Roman" w:hAnsi="Times New Roman"/>
          <w:sz w:val="13"/>
          <w:szCs w:val="13"/>
          <w:color w:val="auto"/>
        </w:rPr>
        <w:t>YCU/628018-000001/86711236v3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AIFU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Room 1, Building 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Jinzhong Guobin Hui Qinyuan 2nd Road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Lihu Community, Xili Street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Shenzhen, 518055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 May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AIFU Inc.</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We have acted as Cayman Islands legal advisers to AIFU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in connection with the Company’s registration statement on Form F-3, including all amendments or supplements thereto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filed with the Securities and Exchange Commission (the “</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under the U.S. Securities Act of 1933, as amended to date, relating to (i) future issuance and sale by the Company, on a delayed or continuous basis, from time to time in one or more offerings, up to US$300,000,000 of the following securities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240" w:hanging="240"/>
        <w:spacing w:after="0"/>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Class A ordinary shares with a par value of US$0.002 each of the Company (the “</w:t>
      </w:r>
      <w:r>
        <w:rPr>
          <w:rFonts w:ascii="Times New Roman" w:cs="Times New Roman" w:eastAsia="Times New Roman" w:hAnsi="Times New Roman"/>
          <w:sz w:val="13"/>
          <w:szCs w:val="13"/>
          <w:b w:val="1"/>
          <w:bCs w:val="1"/>
          <w:color w:val="auto"/>
        </w:rPr>
        <w:t>Class A Ordinary Shares</w:t>
      </w:r>
      <w:r>
        <w:rPr>
          <w:rFonts w:ascii="Times New Roman" w:cs="Times New Roman" w:eastAsia="Times New Roman" w:hAnsi="Times New Roman"/>
          <w:sz w:val="13"/>
          <w:szCs w:val="13"/>
          <w:color w:val="auto"/>
        </w:rPr>
        <w:t>”);</w:t>
      </w:r>
    </w:p>
    <w:p>
      <w:pPr>
        <w:spacing w:after="0" w:line="171"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preferred shares with a par value of US$0.002 each of the Company (the “</w:t>
      </w:r>
      <w:r>
        <w:rPr>
          <w:rFonts w:ascii="Times New Roman" w:cs="Times New Roman" w:eastAsia="Times New Roman" w:hAnsi="Times New Roman"/>
          <w:sz w:val="13"/>
          <w:szCs w:val="13"/>
          <w:b w:val="1"/>
          <w:bCs w:val="1"/>
          <w:color w:val="auto"/>
        </w:rPr>
        <w:t>Preferred Shares</w:t>
      </w:r>
      <w:r>
        <w:rPr>
          <w:rFonts w:ascii="Times New Roman" w:cs="Times New Roman" w:eastAsia="Times New Roman" w:hAnsi="Times New Roman"/>
          <w:sz w:val="13"/>
          <w:szCs w:val="13"/>
          <w:color w:val="auto"/>
        </w:rPr>
        <w:t>”);</w:t>
      </w:r>
    </w:p>
    <w:p>
      <w:pPr>
        <w:spacing w:after="0" w:line="171" w:lineRule="exact"/>
        <w:rPr>
          <w:rFonts w:ascii="Times New Roman" w:cs="Times New Roman" w:eastAsia="Times New Roman" w:hAnsi="Times New Roman"/>
          <w:sz w:val="13"/>
          <w:szCs w:val="13"/>
          <w:color w:val="auto"/>
        </w:rPr>
      </w:pPr>
    </w:p>
    <w:p>
      <w:pPr>
        <w:ind w:left="240" w:hanging="240"/>
        <w:spacing w:after="0" w:line="302" w:lineRule="auto"/>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subscribe for Class A Ordinary Shares of the Company (the “</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 to be issued under warrant agreements to be entered into between the Company and the warrant agent for such Warrants thereunder (the “</w:t>
      </w:r>
      <w:r>
        <w:rPr>
          <w:rFonts w:ascii="Times New Roman" w:cs="Times New Roman" w:eastAsia="Times New Roman" w:hAnsi="Times New Roman"/>
          <w:sz w:val="13"/>
          <w:szCs w:val="13"/>
          <w:b w:val="1"/>
          <w:bCs w:val="1"/>
          <w:color w:val="auto"/>
        </w:rPr>
        <w:t>Warrant Agreements</w:t>
      </w:r>
      <w:r>
        <w:rPr>
          <w:rFonts w:ascii="Times New Roman" w:cs="Times New Roman" w:eastAsia="Times New Roman" w:hAnsi="Times New Roman"/>
          <w:sz w:val="13"/>
          <w:szCs w:val="13"/>
          <w:color w:val="auto"/>
        </w:rPr>
        <w:t>”);</w:t>
      </w:r>
    </w:p>
    <w:p>
      <w:pPr>
        <w:spacing w:after="0" w:line="105" w:lineRule="exact"/>
        <w:rPr>
          <w:rFonts w:ascii="Times New Roman" w:cs="Times New Roman" w:eastAsia="Times New Roman" w:hAnsi="Times New Roman"/>
          <w:sz w:val="13"/>
          <w:szCs w:val="13"/>
          <w:color w:val="auto"/>
        </w:rPr>
      </w:pPr>
    </w:p>
    <w:p>
      <w:pPr>
        <w:ind w:left="240" w:hanging="240"/>
        <w:spacing w:after="0" w:line="302" w:lineRule="auto"/>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subscription rights to purchase Class A Ordinary Shares of the Company (the “</w:t>
      </w:r>
      <w:r>
        <w:rPr>
          <w:rFonts w:ascii="Times New Roman" w:cs="Times New Roman" w:eastAsia="Times New Roman" w:hAnsi="Times New Roman"/>
          <w:sz w:val="13"/>
          <w:szCs w:val="13"/>
          <w:b w:val="1"/>
          <w:bCs w:val="1"/>
          <w:color w:val="auto"/>
        </w:rPr>
        <w:t>Rights</w:t>
      </w:r>
      <w:r>
        <w:rPr>
          <w:rFonts w:ascii="Times New Roman" w:cs="Times New Roman" w:eastAsia="Times New Roman" w:hAnsi="Times New Roman"/>
          <w:sz w:val="13"/>
          <w:szCs w:val="13"/>
          <w:color w:val="auto"/>
        </w:rPr>
        <w:t>”) to be issued under standby underwriting agreements or subscription right agreements to be entered into among the Company and one or more underwriters for such Rights thereunder (the “</w:t>
      </w:r>
      <w:r>
        <w:rPr>
          <w:rFonts w:ascii="Times New Roman" w:cs="Times New Roman" w:eastAsia="Times New Roman" w:hAnsi="Times New Roman"/>
          <w:sz w:val="13"/>
          <w:szCs w:val="13"/>
          <w:b w:val="1"/>
          <w:bCs w:val="1"/>
          <w:color w:val="auto"/>
        </w:rPr>
        <w:t>Rights Agreements</w:t>
      </w:r>
      <w:r>
        <w:rPr>
          <w:rFonts w:ascii="Times New Roman" w:cs="Times New Roman" w:eastAsia="Times New Roman" w:hAnsi="Times New Roman"/>
          <w:sz w:val="13"/>
          <w:szCs w:val="13"/>
          <w:color w:val="auto"/>
        </w:rPr>
        <w:t>”); and</w:t>
      </w:r>
    </w:p>
    <w:p>
      <w:pPr>
        <w:spacing w:after="0" w:line="105" w:lineRule="exact"/>
        <w:rPr>
          <w:rFonts w:ascii="Times New Roman" w:cs="Times New Roman" w:eastAsia="Times New Roman" w:hAnsi="Times New Roman"/>
          <w:sz w:val="13"/>
          <w:szCs w:val="13"/>
          <w:color w:val="auto"/>
        </w:rPr>
      </w:pPr>
    </w:p>
    <w:p>
      <w:pPr>
        <w:ind w:left="240" w:hanging="240"/>
        <w:spacing w:after="0" w:line="302" w:lineRule="auto"/>
        <w:tabs>
          <w:tab w:leader="none" w:pos="2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comprising of one or more of the Class A Ordinary Shares, Preferred Shares, Warrants and Rights in any combination (the “</w:t>
      </w:r>
      <w:r>
        <w:rPr>
          <w:rFonts w:ascii="Times New Roman" w:cs="Times New Roman" w:eastAsia="Times New Roman" w:hAnsi="Times New Roman"/>
          <w:sz w:val="13"/>
          <w:szCs w:val="13"/>
          <w:b w:val="1"/>
          <w:bCs w:val="1"/>
          <w:color w:val="auto"/>
        </w:rPr>
        <w:t>Units</w:t>
      </w:r>
      <w:r>
        <w:rPr>
          <w:rFonts w:ascii="Times New Roman" w:cs="Times New Roman" w:eastAsia="Times New Roman" w:hAnsi="Times New Roman"/>
          <w:sz w:val="13"/>
          <w:szCs w:val="13"/>
          <w:color w:val="auto"/>
        </w:rPr>
        <w:t>”) to be issued under unit agreements to be entered into between the Company and the unitholder for such Units thereunder (the “</w:t>
      </w:r>
      <w:r>
        <w:rPr>
          <w:rFonts w:ascii="Times New Roman" w:cs="Times New Roman" w:eastAsia="Times New Roman" w:hAnsi="Times New Roman"/>
          <w:sz w:val="13"/>
          <w:szCs w:val="13"/>
          <w:b w:val="1"/>
          <w:bCs w:val="1"/>
          <w:color w:val="auto"/>
        </w:rPr>
        <w:t>Unit Agreements</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3"/>
          <w:szCs w:val="13"/>
          <w:color w:val="auto"/>
        </w:rPr>
        <w:t>and (ii) future resale by certain selling shareholders identified in the Registration Statement (each, a “</w:t>
      </w:r>
      <w:r>
        <w:rPr>
          <w:rFonts w:ascii="Times New Roman" w:cs="Times New Roman" w:eastAsia="Times New Roman" w:hAnsi="Times New Roman"/>
          <w:sz w:val="13"/>
          <w:szCs w:val="13"/>
          <w:b w:val="1"/>
          <w:bCs w:val="1"/>
          <w:color w:val="auto"/>
        </w:rPr>
        <w:t>Selling Shareholder</w:t>
      </w:r>
      <w:r>
        <w:rPr>
          <w:rFonts w:ascii="Times New Roman" w:cs="Times New Roman" w:eastAsia="Times New Roman" w:hAnsi="Times New Roman"/>
          <w:sz w:val="13"/>
          <w:szCs w:val="13"/>
          <w:color w:val="auto"/>
        </w:rPr>
        <w:t>”), on a delayed or continuous basis, from time to time in one or more offerings, up to 103,747,628 Class A Ordinary Shares held by them (the “</w:t>
      </w:r>
      <w:r>
        <w:rPr>
          <w:rFonts w:ascii="Times New Roman" w:cs="Times New Roman" w:eastAsia="Times New Roman" w:hAnsi="Times New Roman"/>
          <w:sz w:val="13"/>
          <w:szCs w:val="13"/>
          <w:b w:val="1"/>
          <w:bCs w:val="1"/>
          <w:color w:val="auto"/>
        </w:rPr>
        <w:t>Resale Shares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16724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color w:val="auto"/>
        </w:rPr>
        <w:t>We are furnishing this opinion as Exhibits 5.1 and 23.2 to the Registration Statement.</w:t>
      </w:r>
    </w:p>
    <w:p>
      <w:pPr>
        <w:spacing w:after="0" w:line="168" w:lineRule="exact"/>
        <w:rPr>
          <w:sz w:val="20"/>
          <w:szCs w:val="20"/>
          <w:color w:val="auto"/>
        </w:rPr>
      </w:pPr>
    </w:p>
    <w:p>
      <w:pPr>
        <w:ind w:left="480" w:hanging="480"/>
        <w:spacing w:after="0"/>
        <w:tabs>
          <w:tab w:leader="none" w:pos="480" w:val="left"/>
        </w:tabs>
        <w:numPr>
          <w:ilvl w:val="0"/>
          <w:numId w:val="1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Documents Reviewed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purposes of this opinion, we have reviewed only originals, copies or final drafts of the following documents:</w:t>
      </w:r>
    </w:p>
    <w:p>
      <w:pPr>
        <w:spacing w:after="0" w:line="172" w:lineRule="exact"/>
        <w:rPr>
          <w:sz w:val="20"/>
          <w:szCs w:val="20"/>
          <w:color w:val="auto"/>
        </w:rPr>
      </w:pPr>
    </w:p>
    <w:p>
      <w:pPr>
        <w:jc w:val="both"/>
        <w:ind w:left="480" w:hanging="481"/>
        <w:spacing w:after="0" w:line="289" w:lineRule="auto"/>
        <w:tabs>
          <w:tab w:leader="none" w:pos="460"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color w:val="auto"/>
        </w:rPr>
        <w:t>The certificate of incorporation of the Company dated 10 April 2007, the certificate of incorporation on change of name of the Company dated 12 December 2016, the certificate of incorporation on change of name of the Company dated 12 November 2024 and the certificate of incorporation on change of name of the Company dated 17 April 2025 issued by the Registrar of Companies in the Cayman Islands.</w:t>
      </w:r>
    </w:p>
    <w:p>
      <w:pPr>
        <w:spacing w:after="0" w:line="279" w:lineRule="exact"/>
        <w:rPr>
          <w:sz w:val="20"/>
          <w:szCs w:val="20"/>
          <w:color w:val="auto"/>
        </w:rPr>
      </w:pPr>
    </w:p>
    <w:p>
      <w:pPr>
        <w:jc w:val="both"/>
        <w:ind w:left="480" w:hanging="481"/>
        <w:spacing w:after="0" w:line="302" w:lineRule="auto"/>
        <w:tabs>
          <w:tab w:leader="none" w:pos="46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color w:val="auto"/>
        </w:rPr>
        <w:t>The amended and restated memorandum and articles of association of the Company as adopted by a special resolution passed on 29 April 2026 and effective on 13 May 2026 (the “</w:t>
      </w:r>
      <w:r>
        <w:rPr>
          <w:rFonts w:ascii="Times New Roman" w:cs="Times New Roman" w:eastAsia="Times New Roman" w:hAnsi="Times New Roman"/>
          <w:sz w:val="13"/>
          <w:szCs w:val="13"/>
          <w:b w:val="1"/>
          <w:bCs w:val="1"/>
          <w:color w:val="auto"/>
        </w:rPr>
        <w:t>Memorandum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Articles</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1.3</w:t>
      </w:r>
      <w:r>
        <w:rPr>
          <w:sz w:val="20"/>
          <w:szCs w:val="20"/>
          <w:color w:val="auto"/>
        </w:rPr>
        <w:tab/>
      </w:r>
      <w:r>
        <w:rPr>
          <w:rFonts w:ascii="Times New Roman" w:cs="Times New Roman" w:eastAsia="Times New Roman" w:hAnsi="Times New Roman"/>
          <w:sz w:val="13"/>
          <w:szCs w:val="13"/>
          <w:color w:val="auto"/>
        </w:rPr>
        <w:t>The written resolutions of the board of directors of the Company (the “</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dated 26 May 2026 (the “</w:t>
      </w:r>
      <w:r>
        <w:rPr>
          <w:rFonts w:ascii="Times New Roman" w:cs="Times New Roman" w:eastAsia="Times New Roman" w:hAnsi="Times New Roman"/>
          <w:sz w:val="13"/>
          <w:szCs w:val="13"/>
          <w:b w:val="1"/>
          <w:bCs w:val="1"/>
          <w:color w:val="auto"/>
        </w:rPr>
        <w:t>Board Resolutions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1.4</w:t>
      </w:r>
      <w:r>
        <w:rPr>
          <w:sz w:val="20"/>
          <w:szCs w:val="20"/>
          <w:color w:val="auto"/>
        </w:rPr>
        <w:tab/>
      </w:r>
      <w:r>
        <w:rPr>
          <w:rFonts w:ascii="Times New Roman" w:cs="Times New Roman" w:eastAsia="Times New Roman" w:hAnsi="Times New Roman"/>
          <w:sz w:val="13"/>
          <w:szCs w:val="13"/>
          <w:color w:val="auto"/>
        </w:rPr>
        <w:t>A certificate of good standing dated 21 May 2026 issued by the Registrar of Companies in the Cayman Islands (the “</w:t>
      </w:r>
      <w:r>
        <w:rPr>
          <w:rFonts w:ascii="Times New Roman" w:cs="Times New Roman" w:eastAsia="Times New Roman" w:hAnsi="Times New Roman"/>
          <w:sz w:val="13"/>
          <w:szCs w:val="13"/>
          <w:b w:val="1"/>
          <w:bCs w:val="1"/>
          <w:color w:val="auto"/>
        </w:rPr>
        <w:t>Certificate of Good Standing</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1.5</w:t>
      </w:r>
      <w:r>
        <w:rPr>
          <w:sz w:val="20"/>
          <w:szCs w:val="20"/>
          <w:color w:val="auto"/>
        </w:rPr>
        <w:tab/>
      </w:r>
      <w:r>
        <w:rPr>
          <w:rFonts w:ascii="Times New Roman" w:cs="Times New Roman" w:eastAsia="Times New Roman" w:hAnsi="Times New Roman"/>
          <w:sz w:val="13"/>
          <w:szCs w:val="13"/>
          <w:color w:val="auto"/>
        </w:rPr>
        <w:t>A copy of the register of members of the Company provided to us by the Company on 26 May 2026 (the “</w:t>
      </w:r>
      <w:r>
        <w:rPr>
          <w:rFonts w:ascii="Times New Roman" w:cs="Times New Roman" w:eastAsia="Times New Roman" w:hAnsi="Times New Roman"/>
          <w:sz w:val="13"/>
          <w:szCs w:val="13"/>
          <w:b w:val="1"/>
          <w:bCs w:val="1"/>
          <w:color w:val="auto"/>
        </w:rPr>
        <w:t>Register of Members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1.6</w:t>
      </w:r>
      <w:r>
        <w:rPr>
          <w:sz w:val="20"/>
          <w:szCs w:val="20"/>
          <w:color w:val="auto"/>
        </w:rPr>
        <w:tab/>
      </w:r>
      <w:r>
        <w:rPr>
          <w:rFonts w:ascii="Times New Roman" w:cs="Times New Roman" w:eastAsia="Times New Roman" w:hAnsi="Times New Roman"/>
          <w:sz w:val="13"/>
          <w:szCs w:val="13"/>
          <w:color w:val="auto"/>
        </w:rPr>
        <w:t>A certificate from a director of the Company, a copy of which is attached hereto (the “</w:t>
      </w:r>
      <w:r>
        <w:rPr>
          <w:rFonts w:ascii="Times New Roman" w:cs="Times New Roman" w:eastAsia="Times New Roman" w:hAnsi="Times New Roman"/>
          <w:sz w:val="13"/>
          <w:szCs w:val="13"/>
          <w:b w:val="1"/>
          <w:bCs w:val="1"/>
          <w:color w:val="auto"/>
        </w:rPr>
        <w:t>Director’s Certificate</w:t>
      </w:r>
      <w:r>
        <w:rPr>
          <w:rFonts w:ascii="Times New Roman" w:cs="Times New Roman" w:eastAsia="Times New Roman" w:hAnsi="Times New Roman"/>
          <w:sz w:val="13"/>
          <w:szCs w:val="13"/>
          <w:color w:val="auto"/>
        </w:rPr>
        <w:t>”).</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1.7</w:t>
      </w:r>
      <w:r>
        <w:rPr>
          <w:sz w:val="20"/>
          <w:szCs w:val="20"/>
          <w:color w:val="auto"/>
        </w:rPr>
        <w:tab/>
      </w:r>
      <w:r>
        <w:rPr>
          <w:rFonts w:ascii="Times New Roman" w:cs="Times New Roman" w:eastAsia="Times New Roman" w:hAnsi="Times New Roman"/>
          <w:sz w:val="13"/>
          <w:szCs w:val="13"/>
          <w:color w:val="auto"/>
        </w:rPr>
        <w:t>The Registration Statement.</w:t>
      </w:r>
    </w:p>
    <w:p>
      <w:pPr>
        <w:spacing w:after="0" w:line="168" w:lineRule="exact"/>
        <w:rPr>
          <w:sz w:val="20"/>
          <w:szCs w:val="20"/>
          <w:color w:val="auto"/>
        </w:rPr>
      </w:pPr>
    </w:p>
    <w:p>
      <w:pPr>
        <w:ind w:left="480" w:hanging="480"/>
        <w:spacing w:after="0"/>
        <w:tabs>
          <w:tab w:leader="none" w:pos="480"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Assumptions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the Certificate of Good Standing and the Register of Members. We have also relied upon the following assumptions, which we have not independently verified:</w:t>
      </w:r>
    </w:p>
    <w:p>
      <w:pPr>
        <w:spacing w:after="0" w:line="121" w:lineRule="exact"/>
        <w:rPr>
          <w:sz w:val="20"/>
          <w:szCs w:val="20"/>
          <w:color w:val="auto"/>
        </w:rPr>
      </w:pPr>
    </w:p>
    <w:p>
      <w:pPr>
        <w:jc w:val="both"/>
        <w:ind w:left="480" w:hanging="481"/>
        <w:spacing w:after="0" w:line="280" w:lineRule="auto"/>
        <w:tabs>
          <w:tab w:leader="none" w:pos="46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color w:val="auto"/>
        </w:rPr>
        <w:t>The Warrant Agreements, Rights Agreements and Unit Agreements (together, the “</w:t>
      </w:r>
      <w:r>
        <w:rPr>
          <w:rFonts w:ascii="Times New Roman" w:cs="Times New Roman" w:eastAsia="Times New Roman" w:hAnsi="Times New Roman"/>
          <w:sz w:val="13"/>
          <w:szCs w:val="13"/>
          <w:b w:val="1"/>
          <w:bCs w:val="1"/>
          <w:color w:val="auto"/>
        </w:rPr>
        <w:t>Transaction Documents</w:t>
      </w:r>
      <w:r>
        <w:rPr>
          <w:rFonts w:ascii="Times New Roman" w:cs="Times New Roman" w:eastAsia="Times New Roman" w:hAnsi="Times New Roman"/>
          <w:sz w:val="13"/>
          <w:szCs w:val="13"/>
          <w:color w:val="auto"/>
        </w:rPr>
        <w:t>”), and the Securities (other than the Class A Ordinary Shares and Preferred Shares), have been, or will be, authorised and duly executed and unconditionally delivered by or on behalf of all relevant parties in accordance with all relevant laws (other than, with respect to the Company, the laws of the Cayman Islands).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5" w:name="page86"/>
    <w:bookmarkEnd w:id="85"/>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3"/>
          <w:szCs w:val="13"/>
          <w:color w:val="auto"/>
        </w:rPr>
        <w:t>The Transaction Documents and the Securities (other than the Class A Ordinary Shares and Preferred Shares) are, or will be, legal, valid, binding and enforceable against all relevant parties in accordance with their terms under the laws of the State of New York and all other relevant laws (other than, with respect to the Company, the laws of the Cayman Islands).</w:t>
      </w:r>
    </w:p>
    <w:p>
      <w:pPr>
        <w:spacing w:after="0" w:line="113" w:lineRule="exact"/>
        <w:rPr>
          <w:sz w:val="20"/>
          <w:szCs w:val="20"/>
          <w:color w:val="auto"/>
        </w:rPr>
      </w:pPr>
    </w:p>
    <w:p>
      <w:pPr>
        <w:jc w:val="both"/>
        <w:ind w:left="480" w:hanging="481"/>
        <w:spacing w:after="0" w:line="277" w:lineRule="auto"/>
        <w:tabs>
          <w:tab w:leader="none" w:pos="46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3"/>
          <w:szCs w:val="13"/>
          <w:color w:val="auto"/>
        </w:rPr>
        <w:t>The choice of the laws of the State of New York as the governing law of the Transaction Documents and the Securities (other than the Class A Ordinary Shares and Preferred Shares) has been, or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p>
      <w:pPr>
        <w:spacing w:after="0" w:line="1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3"/>
          <w:szCs w:val="13"/>
          <w:color w:val="auto"/>
        </w:rPr>
        <w:t>Copies of documents, conformed copies or drafts of documents provided to us are true and complete copies of, or in the final forms of, the originals.</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2.5</w:t>
      </w:r>
      <w:r>
        <w:rPr>
          <w:sz w:val="20"/>
          <w:szCs w:val="20"/>
          <w:color w:val="auto"/>
        </w:rPr>
        <w:tab/>
      </w:r>
      <w:r>
        <w:rPr>
          <w:rFonts w:ascii="Times New Roman" w:cs="Times New Roman" w:eastAsia="Times New Roman" w:hAnsi="Times New Roman"/>
          <w:sz w:val="13"/>
          <w:szCs w:val="13"/>
          <w:color w:val="auto"/>
        </w:rPr>
        <w:t>All signatures, initials and seals are genuine.</w:t>
      </w:r>
    </w:p>
    <w:p>
      <w:pPr>
        <w:spacing w:after="0" w:line="172" w:lineRule="exact"/>
        <w:rPr>
          <w:sz w:val="20"/>
          <w:szCs w:val="20"/>
          <w:color w:val="auto"/>
        </w:rPr>
      </w:pPr>
    </w:p>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3"/>
          <w:szCs w:val="13"/>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Transaction Documents and the Securities.</w:t>
      </w:r>
    </w:p>
    <w:p>
      <w:pPr>
        <w:spacing w:after="0" w:line="113" w:lineRule="exact"/>
        <w:rPr>
          <w:sz w:val="20"/>
          <w:szCs w:val="20"/>
          <w:color w:val="auto"/>
        </w:rPr>
      </w:pPr>
    </w:p>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3"/>
          <w:szCs w:val="13"/>
          <w:color w:val="auto"/>
        </w:rPr>
        <w:t>There is no contractual or other prohibition or restriction (other than as arising under Cayman Islands law) binding on the Company prohibiting or restricting it from issuing the Class A Ordinary Shares or the Preferred Shares or entering into and performing its obligations under the Registration Statement, the Transaction Documents and the Securities.</w:t>
      </w:r>
    </w:p>
    <w:p>
      <w:pPr>
        <w:spacing w:after="0" w:line="113" w:lineRule="exact"/>
        <w:rPr>
          <w:sz w:val="20"/>
          <w:szCs w:val="20"/>
          <w:color w:val="auto"/>
        </w:rPr>
      </w:pPr>
    </w:p>
    <w:p>
      <w:pPr>
        <w:jc w:val="both"/>
        <w:ind w:left="480" w:hanging="481"/>
        <w:spacing w:after="0" w:line="277" w:lineRule="auto"/>
        <w:tabs>
          <w:tab w:leader="none" w:pos="460" w:val="left"/>
        </w:tabs>
        <w:rPr>
          <w:sz w:val="20"/>
          <w:szCs w:val="20"/>
          <w:color w:val="auto"/>
        </w:rPr>
      </w:pPr>
      <w:r>
        <w:rPr>
          <w:rFonts w:ascii="Times New Roman" w:cs="Times New Roman" w:eastAsia="Times New Roman" w:hAnsi="Times New Roman"/>
          <w:sz w:val="13"/>
          <w:szCs w:val="13"/>
          <w:color w:val="auto"/>
        </w:rPr>
        <w:t>2.8</w:t>
      </w:r>
      <w:r>
        <w:rPr>
          <w:sz w:val="20"/>
          <w:szCs w:val="20"/>
          <w:color w:val="auto"/>
        </w:rPr>
        <w:tab/>
      </w:r>
      <w:r>
        <w:rPr>
          <w:rFonts w:ascii="Times New Roman" w:cs="Times New Roman" w:eastAsia="Times New Roman" w:hAnsi="Times New Roman"/>
          <w:sz w:val="13"/>
          <w:szCs w:val="13"/>
          <w:color w:val="auto"/>
        </w:rPr>
        <w:t>No monies paid to or for the account of any party under the Transaction Documents or the Securities or any property received or disposed of by any party to the Transaction Documents or the Securities in each case in connection with the Transaction Documents or the Securities,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125" w:lineRule="exact"/>
        <w:rPr>
          <w:sz w:val="20"/>
          <w:szCs w:val="20"/>
          <w:color w:val="auto"/>
        </w:rPr>
      </w:pPr>
    </w:p>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3"/>
          <w:szCs w:val="13"/>
          <w:color w:val="auto"/>
        </w:rPr>
        <w:t>There is nothing contained in the minute book or corporate records of the Company (which other than the records set out in paragraphs 1.1 to 1.5 of the opinion letter, we have not inspected) which would or might affect the opinions set out below.</w:t>
      </w:r>
    </w:p>
    <w:p>
      <w:pPr>
        <w:spacing w:after="0" w:line="113" w:lineRule="exact"/>
        <w:rPr>
          <w:sz w:val="20"/>
          <w:szCs w:val="20"/>
          <w:color w:val="auto"/>
        </w:rPr>
      </w:pPr>
    </w:p>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2.10</w:t>
      </w:r>
      <w:r>
        <w:rPr>
          <w:sz w:val="20"/>
          <w:szCs w:val="20"/>
          <w:color w:val="auto"/>
        </w:rPr>
        <w:tab/>
      </w:r>
      <w:r>
        <w:rPr>
          <w:rFonts w:ascii="Times New Roman" w:cs="Times New Roman" w:eastAsia="Times New Roman" w:hAnsi="Times New Roman"/>
          <w:sz w:val="13"/>
          <w:szCs w:val="13"/>
          <w:color w:val="auto"/>
        </w:rPr>
        <w:t>There is nothing under any law (other than the law of the Cayman Islands) which would or might affect the opinions set out below. Specifically, we have made no independent investigation of the laws of the State of New York.</w:t>
      </w:r>
    </w:p>
    <w:p>
      <w:pPr>
        <w:spacing w:after="0" w:line="1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2.11</w:t>
      </w:r>
      <w:r>
        <w:rPr>
          <w:sz w:val="20"/>
          <w:szCs w:val="20"/>
          <w:color w:val="auto"/>
        </w:rPr>
        <w:tab/>
      </w:r>
      <w:r>
        <w:rPr>
          <w:rFonts w:ascii="Times New Roman" w:cs="Times New Roman" w:eastAsia="Times New Roman" w:hAnsi="Times New Roman"/>
          <w:sz w:val="13"/>
          <w:szCs w:val="13"/>
          <w:color w:val="auto"/>
        </w:rPr>
        <w:t>The Company will have sufficient authorised capital to effect the issue of the Class A Ordinary Shares and Preferred Shares at the time of issuance.</w:t>
      </w:r>
    </w:p>
    <w:p>
      <w:pPr>
        <w:spacing w:after="0" w:line="172" w:lineRule="exact"/>
        <w:rPr>
          <w:sz w:val="20"/>
          <w:szCs w:val="20"/>
          <w:color w:val="auto"/>
        </w:rPr>
      </w:pPr>
    </w:p>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2.12</w:t>
      </w:r>
      <w:r>
        <w:rPr>
          <w:sz w:val="20"/>
          <w:szCs w:val="20"/>
          <w:color w:val="auto"/>
        </w:rPr>
        <w:tab/>
      </w:r>
      <w:r>
        <w:rPr>
          <w:rFonts w:ascii="Times New Roman" w:cs="Times New Roman" w:eastAsia="Times New Roman" w:hAnsi="Times New Roman"/>
          <w:sz w:val="13"/>
          <w:szCs w:val="13"/>
          <w:color w:val="auto"/>
        </w:rPr>
        <w:t>The Company will receive money or money’s worth in consideration for the issue of the Class A Ordinary Shares and the Preferred Shares, and none of the Class A Ordinary Shares or the Preferred Shares will be issued for less than their par value.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6" w:name="page87"/>
    <w:bookmarkEnd w:id="86"/>
    <w:p>
      <w:pPr>
        <w:spacing w:after="0"/>
        <w:tabs>
          <w:tab w:leader="none" w:pos="460" w:val="left"/>
        </w:tabs>
        <w:rPr>
          <w:sz w:val="20"/>
          <w:szCs w:val="20"/>
          <w:color w:val="auto"/>
        </w:rPr>
      </w:pPr>
      <w:r>
        <w:rPr>
          <w:rFonts w:ascii="Times New Roman" w:cs="Times New Roman" w:eastAsia="Times New Roman" w:hAnsi="Times New Roman"/>
          <w:sz w:val="13"/>
          <w:szCs w:val="13"/>
          <w:color w:val="auto"/>
        </w:rPr>
        <w:t>2.13</w:t>
      </w:r>
      <w:r>
        <w:rPr>
          <w:sz w:val="20"/>
          <w:szCs w:val="20"/>
          <w:color w:val="auto"/>
        </w:rPr>
        <w:tab/>
      </w:r>
      <w:r>
        <w:rPr>
          <w:rFonts w:ascii="Times New Roman" w:cs="Times New Roman" w:eastAsia="Times New Roman" w:hAnsi="Times New Roman"/>
          <w:sz w:val="13"/>
          <w:szCs w:val="13"/>
          <w:color w:val="auto"/>
        </w:rPr>
        <w:t>No invitation has been or will be made by or on behalf of the Company to the public in the Cayman Islands to subscribe for any of the Securities.</w:t>
      </w:r>
    </w:p>
    <w:p>
      <w:pPr>
        <w:spacing w:after="0" w:line="172" w:lineRule="exact"/>
        <w:rPr>
          <w:sz w:val="20"/>
          <w:szCs w:val="20"/>
          <w:color w:val="auto"/>
        </w:rPr>
      </w:pPr>
    </w:p>
    <w:p>
      <w:pPr>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2.14</w:t>
      </w:r>
      <w:r>
        <w:rPr>
          <w:sz w:val="20"/>
          <w:szCs w:val="20"/>
          <w:color w:val="auto"/>
        </w:rPr>
        <w:tab/>
      </w:r>
      <w:r>
        <w:rPr>
          <w:rFonts w:ascii="Times New Roman" w:cs="Times New Roman" w:eastAsia="Times New Roman" w:hAnsi="Times New Roman"/>
          <w:sz w:val="13"/>
          <w:szCs w:val="13"/>
          <w:color w:val="auto"/>
        </w:rPr>
        <w:t>The Warrants, Rights, and Units will respectively be issued and authenticated as required in accordance with the provisions of a duly authorised, executed and delivered Warrant Agreement, Rights Agreement, and Unit Agreement (as the case may be).</w:t>
      </w:r>
    </w:p>
    <w:p>
      <w:pPr>
        <w:spacing w:after="0" w:line="113" w:lineRule="exact"/>
        <w:rPr>
          <w:sz w:val="20"/>
          <w:szCs w:val="20"/>
          <w:color w:val="auto"/>
        </w:rPr>
      </w:pPr>
    </w:p>
    <w:p>
      <w:pPr>
        <w:ind w:left="480" w:hanging="481"/>
        <w:spacing w:after="0" w:line="268" w:lineRule="auto"/>
        <w:tabs>
          <w:tab w:leader="none" w:pos="460" w:val="left"/>
        </w:tabs>
        <w:rPr>
          <w:sz w:val="20"/>
          <w:szCs w:val="20"/>
          <w:color w:val="auto"/>
        </w:rPr>
      </w:pPr>
      <w:r>
        <w:rPr>
          <w:rFonts w:ascii="Times New Roman" w:cs="Times New Roman" w:eastAsia="Times New Roman" w:hAnsi="Times New Roman"/>
          <w:sz w:val="13"/>
          <w:szCs w:val="13"/>
          <w:color w:val="auto"/>
        </w:rPr>
        <w:t>2.15</w:t>
      </w:r>
      <w:r>
        <w:rPr>
          <w:sz w:val="20"/>
          <w:szCs w:val="20"/>
          <w:color w:val="auto"/>
        </w:rPr>
        <w:tab/>
      </w:r>
      <w:r>
        <w:rPr>
          <w:rFonts w:ascii="Times New Roman" w:cs="Times New Roman" w:eastAsia="Times New Roman" w:hAnsi="Times New Roman"/>
          <w:sz w:val="13"/>
          <w:szCs w:val="13"/>
          <w:color w:val="auto"/>
        </w:rPr>
        <w:t>The Transaction Documents and the Securities (other than the Class A Ordinary Shares and Preferred Shares) will be, or have been, duly executed and delivered by an authorised person of the parties thereto.</w:t>
      </w:r>
    </w:p>
    <w:p>
      <w:pPr>
        <w:spacing w:after="0" w:line="305" w:lineRule="exact"/>
        <w:rPr>
          <w:sz w:val="20"/>
          <w:szCs w:val="20"/>
          <w:color w:val="auto"/>
        </w:rPr>
      </w:pPr>
    </w:p>
    <w:p>
      <w:pPr>
        <w:ind w:left="480" w:hanging="480"/>
        <w:spacing w:after="0"/>
        <w:tabs>
          <w:tab w:leader="none" w:pos="480" w:val="left"/>
        </w:tabs>
        <w:numPr>
          <w:ilvl w:val="0"/>
          <w:numId w:val="10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upon the foregoing and subject to the qualifications set out below and having regard to such legal considerations as we deem relevant, we are of the opinion that:</w:t>
      </w:r>
    </w:p>
    <w:p>
      <w:pPr>
        <w:spacing w:after="0" w:line="172" w:lineRule="exact"/>
        <w:rPr>
          <w:sz w:val="20"/>
          <w:szCs w:val="20"/>
          <w:color w:val="auto"/>
        </w:rPr>
      </w:pPr>
    </w:p>
    <w:p>
      <w:pPr>
        <w:jc w:val="both"/>
        <w:ind w:left="480" w:hanging="481"/>
        <w:spacing w:after="0" w:line="268" w:lineRule="auto"/>
        <w:tabs>
          <w:tab w:leader="none" w:pos="46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3"/>
          <w:szCs w:val="13"/>
          <w:color w:val="auto"/>
        </w:rPr>
        <w:t>The Company has been duly incorporated as an exempted company with limited liability and is validly existing and in good standing with the Registrar of Companies under the laws of the Cayman Islands.</w:t>
      </w:r>
    </w:p>
    <w:p>
      <w:pPr>
        <w:spacing w:after="0" w:line="309" w:lineRule="exact"/>
        <w:rPr>
          <w:sz w:val="20"/>
          <w:szCs w:val="20"/>
          <w:color w:val="auto"/>
        </w:rPr>
      </w:pPr>
    </w:p>
    <w:p>
      <w:pPr>
        <w:jc w:val="both"/>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3"/>
          <w:szCs w:val="13"/>
          <w:color w:val="auto"/>
        </w:rPr>
        <w:t>The authorised share capital of the Company is US$20,000,000 divided into 10,000,000,000 ordinary shares, comprising of (i) 8,000,000,000 Class A Ordinary Shares of a nominal or par value of US$0.002 each and (ii) 2,000,000,000 Class B ordinary shares of a nominal or par value of US$0.002 each.</w:t>
      </w:r>
    </w:p>
    <w:p>
      <w:pPr>
        <w:spacing w:after="0" w:line="113" w:lineRule="exact"/>
        <w:rPr>
          <w:sz w:val="20"/>
          <w:szCs w:val="20"/>
          <w:color w:val="auto"/>
        </w:rPr>
      </w:pPr>
    </w:p>
    <w:p>
      <w:pPr>
        <w:jc w:val="both"/>
        <w:ind w:left="480" w:hanging="481"/>
        <w:spacing w:after="0" w:line="270" w:lineRule="auto"/>
        <w:tabs>
          <w:tab w:leader="none" w:pos="46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3"/>
          <w:szCs w:val="13"/>
          <w:color w:val="auto"/>
        </w:rPr>
        <w:t>With respect to the Class A Ordinary Shares and the Preferred Shares, when (i) the Board has taken all necessary corporate action to approve the issue thereof, the terms of the offering thereof and related matters; (ii) the issue of such Class A Ordinary Shares or Preferred Shares has been recorded in the Company’s register of members (shareholders); and (iii) the subscription price of such Class A Ordinary Shares or Preferred Shares, (being not less than the par value of the Class A Ordinary Shares or Preferred Shares, as the case may be) has been fully paid in cash or other consideration approved by the Board, the Class A Ordinary Shares or Preferred Shares will be duly authorised, validly issued, fully paid and non-assessable.</w:t>
      </w:r>
    </w:p>
    <w:p>
      <w:pPr>
        <w:spacing w:after="0" w:line="131" w:lineRule="exact"/>
        <w:rPr>
          <w:sz w:val="20"/>
          <w:szCs w:val="20"/>
          <w:color w:val="auto"/>
        </w:rPr>
      </w:pPr>
    </w:p>
    <w:p>
      <w:pPr>
        <w:jc w:val="both"/>
        <w:ind w:left="480" w:hanging="481"/>
        <w:spacing w:after="0" w:line="267" w:lineRule="auto"/>
        <w:tabs>
          <w:tab w:leader="none" w:pos="460" w:val="left"/>
        </w:tabs>
        <w:rPr>
          <w:sz w:val="20"/>
          <w:szCs w:val="20"/>
          <w:color w:val="auto"/>
        </w:rPr>
      </w:pPr>
      <w:r>
        <w:rPr>
          <w:rFonts w:ascii="Times New Roman" w:cs="Times New Roman" w:eastAsia="Times New Roman" w:hAnsi="Times New Roman"/>
          <w:sz w:val="13"/>
          <w:szCs w:val="13"/>
          <w:color w:val="auto"/>
        </w:rPr>
        <w:t>3.4</w:t>
      </w:r>
      <w:r>
        <w:rPr>
          <w:sz w:val="20"/>
          <w:szCs w:val="20"/>
          <w:color w:val="auto"/>
        </w:rPr>
        <w:tab/>
      </w:r>
      <w:r>
        <w:rPr>
          <w:rFonts w:ascii="Times New Roman" w:cs="Times New Roman" w:eastAsia="Times New Roman" w:hAnsi="Times New Roman"/>
          <w:sz w:val="13"/>
          <w:szCs w:val="13"/>
          <w:color w:val="auto"/>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in accordance with all relevant laws; and (iii) the certificates representing the Warrants have been duly executed, countersigned, registered and delivered in accordance with the Warrant Agreement relating to the Warrants and the applicable definitive purchase, underwriting or similar agreement approved by the Board upon payment of the consideration therefor provided therein, the Warrants will be duly authorised, legal and binding obligations of the Company.</w:t>
      </w:r>
    </w:p>
    <w:p>
      <w:pPr>
        <w:spacing w:after="0" w:line="133" w:lineRule="exact"/>
        <w:rPr>
          <w:sz w:val="20"/>
          <w:szCs w:val="20"/>
          <w:color w:val="auto"/>
        </w:rPr>
      </w:pPr>
    </w:p>
    <w:p>
      <w:pPr>
        <w:jc w:val="both"/>
        <w:ind w:left="480" w:hanging="481"/>
        <w:spacing w:after="0" w:line="267" w:lineRule="auto"/>
        <w:tabs>
          <w:tab w:leader="none" w:pos="460" w:val="left"/>
        </w:tabs>
        <w:rPr>
          <w:sz w:val="20"/>
          <w:szCs w:val="20"/>
          <w:color w:val="auto"/>
        </w:rPr>
      </w:pPr>
      <w:r>
        <w:rPr>
          <w:rFonts w:ascii="Times New Roman" w:cs="Times New Roman" w:eastAsia="Times New Roman" w:hAnsi="Times New Roman"/>
          <w:sz w:val="13"/>
          <w:szCs w:val="13"/>
          <w:color w:val="auto"/>
        </w:rPr>
        <w:t>3.5</w:t>
      </w:r>
      <w:r>
        <w:rPr>
          <w:sz w:val="20"/>
          <w:szCs w:val="20"/>
          <w:color w:val="auto"/>
        </w:rPr>
        <w:tab/>
      </w:r>
      <w:r>
        <w:rPr>
          <w:rFonts w:ascii="Times New Roman" w:cs="Times New Roman" w:eastAsia="Times New Roman" w:hAnsi="Times New Roman"/>
          <w:sz w:val="13"/>
          <w:szCs w:val="13"/>
          <w:color w:val="auto"/>
        </w:rPr>
        <w:t>With respect to each issue of the Rights, when (i) the Board has taken all necessary corporate action to approve the creation and terms of the Rights and to approve the issue thereof, the terms of the offering thereof and related matters; (ii) a Rights Agreement relating to the Rights shall have been duly authorised and duly executed and delivered by the Company and all the relevant parties thereunder in accordance with all relevant laws; and (iii) when such Rights issued thereunder have been duly executed and delivered on behalf of the Company and authenticated in the manner set forth in the Rights Agreement relating to such issue of Rights and delivered against due payment therefor pursuant to, and in accordance with, the terms of the Registration Statement and any relevant prospectus supplement, such Rights will be duly authorised, legal and binding obligations of the Company.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7" w:name="page88"/>
    <w:bookmarkEnd w:id="87"/>
    <w:p>
      <w:pPr>
        <w:jc w:val="both"/>
        <w:ind w:left="480" w:hanging="481"/>
        <w:spacing w:after="0" w:line="267" w:lineRule="auto"/>
        <w:tabs>
          <w:tab w:leader="none" w:pos="460" w:val="left"/>
        </w:tabs>
        <w:rPr>
          <w:sz w:val="20"/>
          <w:szCs w:val="20"/>
          <w:color w:val="auto"/>
        </w:rPr>
      </w:pPr>
      <w:r>
        <w:rPr>
          <w:rFonts w:ascii="Times New Roman" w:cs="Times New Roman" w:eastAsia="Times New Roman" w:hAnsi="Times New Roman"/>
          <w:sz w:val="13"/>
          <w:szCs w:val="13"/>
          <w:color w:val="auto"/>
        </w:rPr>
        <w:t>3.6</w:t>
      </w:r>
      <w:r>
        <w:rPr>
          <w:sz w:val="20"/>
          <w:szCs w:val="20"/>
          <w:color w:val="auto"/>
        </w:rPr>
        <w:tab/>
      </w:r>
      <w:r>
        <w:rPr>
          <w:rFonts w:ascii="Times New Roman" w:cs="Times New Roman" w:eastAsia="Times New Roman" w:hAnsi="Times New Roman"/>
          <w:sz w:val="13"/>
          <w:szCs w:val="13"/>
          <w:color w:val="auto"/>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 relating to such issue of Units and delivered against due payment therefor pursuant to, and in accordance with, the terms of the Registration Statement and any relevant prospectus supplement, such Units issued pursuant to the Unit Agreement will be duly authorised, legal and binding obligations of the Company.</w:t>
      </w:r>
    </w:p>
    <w:p>
      <w:pPr>
        <w:spacing w:after="0" w:line="133" w:lineRule="exact"/>
        <w:rPr>
          <w:sz w:val="20"/>
          <w:szCs w:val="20"/>
          <w:color w:val="auto"/>
        </w:rPr>
      </w:pPr>
    </w:p>
    <w:p>
      <w:pPr>
        <w:jc w:val="both"/>
        <w:ind w:left="480" w:hanging="481"/>
        <w:spacing w:after="0" w:line="289" w:lineRule="auto"/>
        <w:tabs>
          <w:tab w:leader="none" w:pos="460" w:val="left"/>
        </w:tabs>
        <w:rPr>
          <w:sz w:val="20"/>
          <w:szCs w:val="20"/>
          <w:color w:val="auto"/>
        </w:rPr>
      </w:pPr>
      <w:r>
        <w:rPr>
          <w:rFonts w:ascii="Times New Roman" w:cs="Times New Roman" w:eastAsia="Times New Roman" w:hAnsi="Times New Roman"/>
          <w:sz w:val="13"/>
          <w:szCs w:val="13"/>
          <w:color w:val="auto"/>
        </w:rPr>
        <w:t>3.7</w:t>
      </w:r>
      <w:r>
        <w:rPr>
          <w:sz w:val="20"/>
          <w:szCs w:val="20"/>
          <w:color w:val="auto"/>
        </w:rPr>
        <w:tab/>
      </w:r>
      <w:r>
        <w:rPr>
          <w:rFonts w:ascii="Times New Roman" w:cs="Times New Roman" w:eastAsia="Times New Roman" w:hAnsi="Times New Roman"/>
          <w:sz w:val="13"/>
          <w:szCs w:val="13"/>
          <w:color w:val="auto"/>
        </w:rPr>
        <w:t>Based solely of our inspection of the Register of Members, each Selling Shareholder has valid title to its Resale Shares and such Resale Shares have been duly authorised, legally issued and (assuming the purchase price therefor has been paid in full) are fully paid and non-assessable and there are no entries or notations indicating any third party interests, including any security interest as at the date hereof.</w:t>
      </w:r>
    </w:p>
    <w:p>
      <w:pPr>
        <w:spacing w:after="0" w:line="279" w:lineRule="exact"/>
        <w:rPr>
          <w:sz w:val="20"/>
          <w:szCs w:val="20"/>
          <w:color w:val="auto"/>
        </w:rPr>
      </w:pPr>
    </w:p>
    <w:p>
      <w:pPr>
        <w:ind w:left="480" w:hanging="480"/>
        <w:spacing w:after="0"/>
        <w:tabs>
          <w:tab w:leader="none" w:pos="480" w:val="left"/>
        </w:tabs>
        <w:numPr>
          <w:ilvl w:val="0"/>
          <w:numId w:val="10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Qualifications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opinions expressed above are subject to the following qualifications:</w:t>
      </w:r>
    </w:p>
    <w:p>
      <w:pPr>
        <w:spacing w:after="0" w:line="172" w:lineRule="exact"/>
        <w:rPr>
          <w:sz w:val="20"/>
          <w:szCs w:val="20"/>
          <w:color w:val="auto"/>
        </w:rPr>
      </w:pPr>
    </w:p>
    <w:p>
      <w:pPr>
        <w:ind w:left="480" w:hanging="481"/>
        <w:spacing w:after="0" w:line="268" w:lineRule="auto"/>
        <w:tabs>
          <w:tab w:leader="none" w:pos="46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color w:val="auto"/>
        </w:rPr>
        <w:t>To maintain the Company in good standing under the laws of the Cayman Islands, annual filing fees must be paid and returns made to the Registrar of Companies within the time frame prescribed by law.</w:t>
      </w:r>
    </w:p>
    <w:p>
      <w:pPr>
        <w:spacing w:after="0" w:line="309" w:lineRule="exact"/>
        <w:rPr>
          <w:sz w:val="20"/>
          <w:szCs w:val="20"/>
          <w:color w:val="auto"/>
        </w:rPr>
      </w:pPr>
    </w:p>
    <w:p>
      <w:pPr>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The obligations assumed by the Company under the Transaction Documents, the Securities (other than the Class A Ordinary Shares and Preferred Shares) will not necessarily be enforceable in all circumstances in accordance with their terms. In particular:</w:t>
      </w:r>
    </w:p>
    <w:p>
      <w:pPr>
        <w:spacing w:after="0" w:line="113" w:lineRule="exact"/>
        <w:rPr>
          <w:sz w:val="20"/>
          <w:szCs w:val="20"/>
          <w:color w:val="auto"/>
        </w:rPr>
      </w:pPr>
    </w:p>
    <w:p>
      <w:pPr>
        <w:ind w:left="960" w:hanging="478"/>
        <w:spacing w:after="0" w:line="296" w:lineRule="auto"/>
        <w:tabs>
          <w:tab w:leader="none" w:pos="9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11" w:lineRule="exact"/>
        <w:rPr>
          <w:rFonts w:ascii="Times New Roman" w:cs="Times New Roman" w:eastAsia="Times New Roman" w:hAnsi="Times New Roman"/>
          <w:sz w:val="13"/>
          <w:szCs w:val="13"/>
          <w:color w:val="auto"/>
        </w:rPr>
      </w:pPr>
    </w:p>
    <w:p>
      <w:pPr>
        <w:ind w:left="960" w:hanging="478"/>
        <w:spacing w:after="0" w:line="299" w:lineRule="auto"/>
        <w:tabs>
          <w:tab w:leader="none" w:pos="9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3"/>
          <w:szCs w:val="13"/>
          <w:i w:val="1"/>
          <w:iCs w:val="1"/>
          <w:color w:val="auto"/>
        </w:rPr>
        <w:t>inter alia</w:t>
      </w:r>
      <w:r>
        <w:rPr>
          <w:rFonts w:ascii="Times New Roman" w:cs="Times New Roman" w:eastAsia="Times New Roman" w:hAnsi="Times New Roman"/>
          <w:sz w:val="13"/>
          <w:szCs w:val="13"/>
          <w:color w:val="auto"/>
        </w:rPr>
        <w:t>, where damages are considered to be an adequate remedy;</w:t>
      </w:r>
    </w:p>
    <w:p>
      <w:pPr>
        <w:spacing w:after="0" w:line="11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claims may become barred under relevant statutes of limitation or may be or become subject to defences of set off, counterclaim, estoppel and similar defences;</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13" w:lineRule="exact"/>
        <w:rPr>
          <w:rFonts w:ascii="Times New Roman" w:cs="Times New Roman" w:eastAsia="Times New Roman" w:hAnsi="Times New Roman"/>
          <w:sz w:val="13"/>
          <w:szCs w:val="13"/>
          <w:color w:val="auto"/>
        </w:rPr>
      </w:pPr>
    </w:p>
    <w:p>
      <w:pPr>
        <w:jc w:val="both"/>
        <w:ind w:left="960" w:hanging="478"/>
        <w:spacing w:after="0" w:line="270" w:lineRule="auto"/>
        <w:tabs>
          <w:tab w:leader="none" w:pos="9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8" w:name="page89"/>
    <w:bookmarkEnd w:id="88"/>
    <w:p>
      <w:pPr>
        <w:ind w:left="960" w:hanging="478"/>
        <w:spacing w:after="0"/>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arrangements that constitute penalties will not be enforceable;</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enforcement may be prevented by reason of fraud, coercion, duress, undue influence, misrepresentation, public policy or mistake or limited by the doctrine of frustration of contracts;</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imposing confidentiality obligations may be overridden by compulsion of applicable law or the requirements of legal and/or regulatory process;</w:t>
      </w:r>
    </w:p>
    <w:p>
      <w:pPr>
        <w:spacing w:after="0" w:line="171"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courts of the Cayman Islands may decline to exercise jurisdiction in relation to substantive proceedings brought under or in relation to the Transaction Documents or Securities (other than the Class A Ordinary Shares and Preferred Shares) in matters where they determine that such proceedings may be tried in a more appropriate forum;</w:t>
      </w:r>
    </w:p>
    <w:p>
      <w:pPr>
        <w:spacing w:after="0" w:line="113" w:lineRule="exact"/>
        <w:rPr>
          <w:rFonts w:ascii="Times New Roman" w:cs="Times New Roman" w:eastAsia="Times New Roman" w:hAnsi="Times New Roman"/>
          <w:sz w:val="13"/>
          <w:szCs w:val="13"/>
          <w:color w:val="auto"/>
        </w:rPr>
      </w:pPr>
    </w:p>
    <w:p>
      <w:pPr>
        <w:ind w:left="960" w:hanging="478"/>
        <w:spacing w:after="0" w:line="296" w:lineRule="auto"/>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reserve our opinion as to the enforceability of the relevant provisions of the Transaction Documents or Securities (other than the Class A Ordinary Shares and Preferred Shares) to the extent that they purport to grant exclusive jurisdiction as there may be circumstances in which the courts of the Cayman Islands would accept jurisdiction notwithstanding such provisions;</w:t>
      </w:r>
    </w:p>
    <w:p>
      <w:pPr>
        <w:spacing w:after="0" w:line="113" w:lineRule="exact"/>
        <w:rPr>
          <w:rFonts w:ascii="Times New Roman" w:cs="Times New Roman" w:eastAsia="Times New Roman" w:hAnsi="Times New Roman"/>
          <w:sz w:val="13"/>
          <w:szCs w:val="13"/>
          <w:color w:val="auto"/>
        </w:rPr>
      </w:pPr>
    </w:p>
    <w:p>
      <w:pPr>
        <w:jc w:val="both"/>
        <w:ind w:left="960" w:hanging="478"/>
        <w:spacing w:after="0" w:line="270" w:lineRule="auto"/>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cannot, by agreement or in its articles of association, restrict the exercise of a statutory power and there is doubt as to the enforceability of any provision in the Transaction Documents or Securities (other than the Class A Ordinary Shares and Preferred Shares) whereby the Company covenants to restrict the exercise of powers specifically given to it under the Companies Act (As Revised) of the Cayman Islands (the “</w:t>
      </w:r>
      <w:r>
        <w:rPr>
          <w:rFonts w:ascii="Times New Roman" w:cs="Times New Roman" w:eastAsia="Times New Roman" w:hAnsi="Times New Roman"/>
          <w:sz w:val="13"/>
          <w:szCs w:val="13"/>
          <w:b w:val="1"/>
          <w:bCs w:val="1"/>
          <w:color w:val="auto"/>
        </w:rPr>
        <w:t>Companies Act</w:t>
      </w:r>
      <w:r>
        <w:rPr>
          <w:rFonts w:ascii="Times New Roman" w:cs="Times New Roman" w:eastAsia="Times New Roman" w:hAnsi="Times New Roman"/>
          <w:sz w:val="13"/>
          <w:szCs w:val="13"/>
          <w:color w:val="auto"/>
        </w:rPr>
        <w:t>”), including, without limitation, the power to increase its authorised share capital, amend its memorandum and articles of association or present a petition to a Cayman Islands court for an order to wind up the Company; and</w:t>
      </w:r>
    </w:p>
    <w:p>
      <w:pPr>
        <w:spacing w:after="0" w:line="130" w:lineRule="exact"/>
        <w:rPr>
          <w:rFonts w:ascii="Times New Roman" w:cs="Times New Roman" w:eastAsia="Times New Roman" w:hAnsi="Times New Roman"/>
          <w:sz w:val="13"/>
          <w:szCs w:val="13"/>
          <w:color w:val="auto"/>
        </w:rPr>
      </w:pPr>
    </w:p>
    <w:p>
      <w:pPr>
        <w:jc w:val="both"/>
        <w:ind w:left="960" w:hanging="478"/>
        <w:spacing w:after="0" w:line="277" w:lineRule="auto"/>
        <w:tabs>
          <w:tab w:leader="none" w:pos="9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enforcement or performance of any provision in the Transaction Documents or Securities (other than the Class A Ordinary Shares and Preferred Shares)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w:t>
      </w:r>
      <w:r>
        <w:rPr>
          <w:rFonts w:ascii="Times New Roman" w:cs="Times New Roman" w:eastAsia="Times New Roman" w:hAnsi="Times New Roman"/>
          <w:sz w:val="13"/>
          <w:szCs w:val="13"/>
          <w:b w:val="1"/>
          <w:bCs w:val="1"/>
          <w:color w:val="auto"/>
        </w:rPr>
        <w:t>BOT Act</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color w:val="auto"/>
        </w:rPr>
        <w:t>We express no opinion as to the meaning, validity or effect of any references to foreign (i.e. non-Cayman Islands) statutes, rules, regulations, codes, judicial authority or any other promulgations and any references to them in the Transaction Documents or Securities (other than the Class A Ordinary Shares and Preferred Shares).</w:t>
      </w:r>
    </w:p>
    <w:p>
      <w:pPr>
        <w:spacing w:after="0" w:line="113" w:lineRule="exact"/>
        <w:rPr>
          <w:sz w:val="20"/>
          <w:szCs w:val="20"/>
          <w:color w:val="auto"/>
        </w:rPr>
      </w:pPr>
    </w:p>
    <w:p>
      <w:pPr>
        <w:ind w:left="480" w:hanging="481"/>
        <w:spacing w:after="0" w:line="296" w:lineRule="auto"/>
        <w:tabs>
          <w:tab w:leader="none" w:pos="46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color w:val="auto"/>
        </w:rPr>
        <w:t>We have not reviewed the final form of any of the Warrant Agreements or the Warrants to be issued thereunder, the Rights Agreements or the Rights to be issued thereunder, or the Unit Agreements or the Units to be issued thereunder, and our opinions are qualified accordingly.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9" w:name="page90"/>
    <w:bookmarkEnd w:id="89"/>
    <w:p>
      <w:pPr>
        <w:jc w:val="both"/>
        <w:ind w:left="480" w:hanging="481"/>
        <w:spacing w:after="0" w:line="277" w:lineRule="auto"/>
        <w:tabs>
          <w:tab w:leader="none" w:pos="460"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color w:val="auto"/>
        </w:rPr>
        <w:t>We reserve our opinion as to the extent to which the courts of the Cayman Islands would, in the event of any relevant illegality or invalidity, sever the relevant provisions of the Transaction Documents or Securities (other than the Class A Ordinary Shares and Preferred Shares) and enforce the remainder or the transaction of which such provisions form a part, notwithstanding any express provisions in this regard.</w:t>
      </w:r>
    </w:p>
    <w:p>
      <w:pPr>
        <w:spacing w:after="0" w:line="125" w:lineRule="exact"/>
        <w:rPr>
          <w:sz w:val="20"/>
          <w:szCs w:val="20"/>
          <w:color w:val="auto"/>
        </w:rPr>
      </w:pPr>
    </w:p>
    <w:p>
      <w:pPr>
        <w:jc w:val="both"/>
        <w:ind w:left="480" w:hanging="481"/>
        <w:spacing w:after="0" w:line="289" w:lineRule="auto"/>
        <w:tabs>
          <w:tab w:leader="none" w:pos="460" w:val="left"/>
        </w:tabs>
        <w:rPr>
          <w:sz w:val="20"/>
          <w:szCs w:val="20"/>
          <w:color w:val="auto"/>
        </w:rPr>
      </w:pPr>
      <w:r>
        <w:rPr>
          <w:rFonts w:ascii="Times New Roman" w:cs="Times New Roman" w:eastAsia="Times New Roman" w:hAnsi="Times New Roman"/>
          <w:sz w:val="13"/>
          <w:szCs w:val="13"/>
          <w:color w:val="auto"/>
        </w:rPr>
        <w:t>4.6</w:t>
      </w:r>
      <w:r>
        <w:rPr>
          <w:sz w:val="20"/>
          <w:szCs w:val="20"/>
          <w:color w:val="auto"/>
        </w:rPr>
        <w:tab/>
      </w:r>
      <w:r>
        <w:rPr>
          <w:rFonts w:ascii="Times New Roman" w:cs="Times New Roman" w:eastAsia="Times New Roman" w:hAnsi="Times New Roman"/>
          <w:sz w:val="13"/>
          <w:szCs w:val="13"/>
          <w:color w:val="auto"/>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283" w:lineRule="exact"/>
        <w:rPr>
          <w:sz w:val="20"/>
          <w:szCs w:val="20"/>
          <w:color w:val="auto"/>
        </w:rPr>
      </w:pPr>
    </w:p>
    <w:p>
      <w:pPr>
        <w:jc w:val="both"/>
        <w:ind w:left="480" w:hanging="481"/>
        <w:spacing w:after="0" w:line="277" w:lineRule="auto"/>
        <w:tabs>
          <w:tab w:leader="none" w:pos="460" w:val="left"/>
        </w:tabs>
        <w:rPr>
          <w:sz w:val="20"/>
          <w:szCs w:val="20"/>
          <w:color w:val="auto"/>
        </w:rPr>
      </w:pPr>
      <w:r>
        <w:rPr>
          <w:rFonts w:ascii="Times New Roman" w:cs="Times New Roman" w:eastAsia="Times New Roman" w:hAnsi="Times New Roman"/>
          <w:sz w:val="13"/>
          <w:szCs w:val="13"/>
          <w:color w:val="auto"/>
        </w:rPr>
        <w:t>4.7</w:t>
      </w:r>
      <w:r>
        <w:rPr>
          <w:sz w:val="20"/>
          <w:szCs w:val="20"/>
          <w:color w:val="auto"/>
        </w:rPr>
        <w:tab/>
      </w:r>
      <w:r>
        <w:rPr>
          <w:rFonts w:ascii="Times New Roman" w:cs="Times New Roman" w:eastAsia="Times New Roman" w:hAnsi="Times New Roman"/>
          <w:sz w:val="13"/>
          <w:szCs w:val="13"/>
          <w:color w:val="auto"/>
        </w:rPr>
        <w:t>Note that under the Companies Act, it is not necessary to include third party interests in the Register of Members and its inclusion of such interests in the Register of Members does not perfect the securities created with such interest and the failure to make entry in the Register of Members does not mean that no third party interest exists over the issued shares of the Company and would not invalidate the security interest created by the third party.</w:t>
      </w:r>
    </w:p>
    <w:p>
      <w:pPr>
        <w:spacing w:after="0" w:line="125" w:lineRule="exact"/>
        <w:rPr>
          <w:sz w:val="20"/>
          <w:szCs w:val="20"/>
          <w:color w:val="auto"/>
        </w:rPr>
      </w:pPr>
    </w:p>
    <w:p>
      <w:pPr>
        <w:jc w:val="both"/>
        <w:ind w:left="480" w:hanging="481"/>
        <w:spacing w:after="0" w:line="270" w:lineRule="auto"/>
        <w:tabs>
          <w:tab w:leader="none" w:pos="460" w:val="left"/>
        </w:tabs>
        <w:rPr>
          <w:sz w:val="20"/>
          <w:szCs w:val="20"/>
          <w:color w:val="auto"/>
        </w:rPr>
      </w:pPr>
      <w:r>
        <w:rPr>
          <w:rFonts w:ascii="Times New Roman" w:cs="Times New Roman" w:eastAsia="Times New Roman" w:hAnsi="Times New Roman"/>
          <w:sz w:val="13"/>
          <w:szCs w:val="13"/>
          <w:color w:val="auto"/>
        </w:rPr>
        <w:t>4.8</w:t>
      </w:r>
      <w:r>
        <w:rPr>
          <w:sz w:val="20"/>
          <w:szCs w:val="20"/>
          <w:color w:val="auto"/>
        </w:rPr>
        <w:tab/>
      </w:r>
      <w:r>
        <w:rPr>
          <w:rFonts w:ascii="Times New Roman" w:cs="Times New Roman" w:eastAsia="Times New Roman" w:hAnsi="Times New Roman"/>
          <w:sz w:val="13"/>
          <w:szCs w:val="13"/>
          <w:color w:val="auto"/>
        </w:rPr>
        <w:t>In this opinion the phrase “non-assessable” means, with respect to the issuance of shares in the Company,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3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4.9</w:t>
      </w:r>
      <w:r>
        <w:rPr>
          <w:sz w:val="20"/>
          <w:szCs w:val="20"/>
          <w:color w:val="auto"/>
        </w:rPr>
        <w:tab/>
      </w:r>
      <w:r>
        <w:rPr>
          <w:rFonts w:ascii="Times New Roman" w:cs="Times New Roman" w:eastAsia="Times New Roman" w:hAnsi="Times New Roman"/>
          <w:sz w:val="13"/>
          <w:szCs w:val="13"/>
          <w:color w:val="auto"/>
        </w:rPr>
        <w:t>The obligations of the Company may be subject to restrictions pursuant to:</w:t>
      </w:r>
    </w:p>
    <w:p>
      <w:pPr>
        <w:spacing w:after="0" w:line="172" w:lineRule="exact"/>
        <w:rPr>
          <w:sz w:val="20"/>
          <w:szCs w:val="20"/>
          <w:color w:val="auto"/>
        </w:rPr>
      </w:pPr>
    </w:p>
    <w:p>
      <w:pPr>
        <w:ind w:left="960" w:hanging="478"/>
        <w:spacing w:after="0"/>
        <w:tabs>
          <w:tab w:leader="none" w:pos="96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United Nations and United Kingdom sanctions extended to the Cayman Islands by Orders in Council; and</w:t>
      </w:r>
    </w:p>
    <w:p>
      <w:pPr>
        <w:spacing w:after="0" w:line="171" w:lineRule="exact"/>
        <w:rPr>
          <w:rFonts w:ascii="Times New Roman" w:cs="Times New Roman" w:eastAsia="Times New Roman" w:hAnsi="Times New Roman"/>
          <w:sz w:val="13"/>
          <w:szCs w:val="13"/>
          <w:color w:val="auto"/>
        </w:rPr>
      </w:pPr>
    </w:p>
    <w:p>
      <w:pPr>
        <w:ind w:left="960" w:hanging="478"/>
        <w:spacing w:after="0"/>
        <w:tabs>
          <w:tab w:leader="none" w:pos="96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sanctions imposed by Cayman Islands authorities under Cayman Islands legislation.</w:t>
      </w:r>
    </w:p>
    <w:p>
      <w:pPr>
        <w:spacing w:after="0" w:line="17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3"/>
          <w:szCs w:val="13"/>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1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3"/>
          <w:szCs w:val="13"/>
          <w:color w:val="auto"/>
        </w:rPr>
        <w:t>The opinions in this opinion letter are strictly limited to the matters contained in the opinions section above and do not extend to any other matters. We have not been asked to review and we therefore have not reviewed any of the ancillary documents relating to the Transaction Documents or Securities and express no opinion or observation upon the terms of any such document.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0" w:name="page91"/>
    <w:bookmarkEnd w:id="90"/>
    <w:p>
      <w:pPr>
        <w:jc w:val="both"/>
        <w:spacing w:after="0" w:line="277"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our name under the headings “Enforceability of Civil Liabilities” and “Legal Matters” and elsewhere in the prospectuses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Maples and Calder (Hong Kong)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Maples and Calder (Hong Kong) LLP</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3"/>
          <w:szCs w:val="13"/>
          <w:b w:val="1"/>
          <w:bCs w:val="1"/>
          <w:color w:val="auto"/>
        </w:rPr>
        <w:t>Exhibit 8.1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5/9/10/13/17 Floor, Broadcasting Tower,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14A Jianguomenwai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Chaoyang District,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Beijing, 100022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China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May 26, 2026</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3"/>
          <w:szCs w:val="13"/>
          <w:color w:val="auto"/>
        </w:rPr>
        <w:t>To:</w:t>
      </w:r>
      <w:r>
        <w:rPr>
          <w:sz w:val="20"/>
          <w:szCs w:val="20"/>
          <w:color w:val="auto"/>
        </w:rPr>
        <w:tab/>
      </w:r>
      <w:r>
        <w:rPr>
          <w:rFonts w:ascii="Times New Roman" w:cs="Times New Roman" w:eastAsia="Times New Roman" w:hAnsi="Times New Roman"/>
          <w:sz w:val="13"/>
          <w:szCs w:val="13"/>
          <w:b w:val="1"/>
          <w:bCs w:val="1"/>
          <w:color w:val="auto"/>
        </w:rPr>
        <w:t>AIFU Inc.</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Room 1, Building 10,</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Jinzhong Guobin Hui Qingyuan 2nd Road</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Lihu Community, Xili Street</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Shenzhen, 518055</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People’s Republic of China</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+86 755 22671879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Sirs or Madams,</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color w:val="auto"/>
        </w:rPr>
        <w:t>We are lawyers qualified to practice in the People’s Republic of China (the “</w:t>
      </w:r>
      <w:r>
        <w:rPr>
          <w:rFonts w:ascii="Times New Roman" w:cs="Times New Roman" w:eastAsia="Times New Roman" w:hAnsi="Times New Roman"/>
          <w:sz w:val="13"/>
          <w:szCs w:val="13"/>
          <w:u w:val="single" w:color="auto"/>
          <w:color w:val="auto"/>
        </w:rPr>
        <w:t>PRC</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China</w:t>
      </w:r>
      <w:r>
        <w:rPr>
          <w:rFonts w:ascii="Times New Roman" w:cs="Times New Roman" w:eastAsia="Times New Roman" w:hAnsi="Times New Roman"/>
          <w:sz w:val="13"/>
          <w:szCs w:val="13"/>
          <w:color w:val="auto"/>
        </w:rPr>
        <w:t>”, which, for the purpose of this opinion only, does not include the Hong Kong Special Administrative Region, the Macau Special Administrative Region and Taiwan Region) and as such are qualified to issue this opinion on the PRC Laws (as defined below).</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are acting as PRC counsel to AIFU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 company incorporated under the laws of the Cayman Islands, in connection with the Company’s registration statement on Form F-3 (including all amendments or supplements thereto, the “</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filed by the Company with the Securities and Exchange Commission under the U.S. Securities Act of 1933 (as amended), in relation to the (1) offering of Class A ordinary shares, preferred shares, warrants, subscription rights and/or a combination of such securities, separately or as units, of an aggregate offering price of up to US$ 300,000,000; and (2) the offer and resale by the selling securityholders named in the Registration Statement of up to an aggregate of 103,747,628 Class A ordinary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Documents and Assumptions</w:t>
      </w:r>
    </w:p>
    <w:p>
      <w:pPr>
        <w:spacing w:after="0" w:line="17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color w:val="auto"/>
        </w:rPr>
        <w:t>In rendering this opinion, we have examined copies of the Registration Statement and other documents (collectively the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as we have considered necessary or advisable for the purposes of rendering this opinion. Where certain facts were not independently established and verified by us, we have relied upon appropriate representatives of the Company and the PRC Companies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6724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color w:val="auto"/>
        </w:rPr>
        <w:t>In rendering this opinion, we have made the following assumptions (the “</w:t>
      </w:r>
      <w:r>
        <w:rPr>
          <w:rFonts w:ascii="Times New Roman" w:cs="Times New Roman" w:eastAsia="Times New Roman" w:hAnsi="Times New Roman"/>
          <w:sz w:val="13"/>
          <w:szCs w:val="13"/>
          <w:u w:val="single" w:color="auto"/>
          <w:color w:val="auto"/>
        </w:rPr>
        <w:t>Assumptions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spacing w:after="0" w:line="296" w:lineRule="auto"/>
        <w:tabs>
          <w:tab w:leader="none" w:pos="20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signatures, seals and chops on the Documents are genuine, and each signature on behalf of a party thereto is that of a person duly authorized by such party to execute the same, and all Documents submitted to us as originals are authentic, and all Documents submitted to us as copies conform to the originals;</w:t>
      </w:r>
    </w:p>
    <w:p>
      <w:pPr>
        <w:spacing w:after="0" w:line="113" w:lineRule="exact"/>
        <w:rPr>
          <w:rFonts w:ascii="Times New Roman" w:cs="Times New Roman" w:eastAsia="Times New Roman" w:hAnsi="Times New Roman"/>
          <w:sz w:val="13"/>
          <w:szCs w:val="13"/>
          <w:color w:val="auto"/>
        </w:rPr>
      </w:pPr>
    </w:p>
    <w:p>
      <w:pPr>
        <w:jc w:val="both"/>
        <w:spacing w:after="0" w:line="277" w:lineRule="auto"/>
        <w:tabs>
          <w:tab w:leader="none" w:pos="19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parties to the Documents, (i) if a legal person or other entity, is duly organized and is validly existing in good standing under the laws of its jurisdiction of organization and/or incorporation, and (ii) if an individual, has full capacity for civil conduct, and has full power and authority to execute, deliver and perform its, her or his obligations under the Documents to which it, she, he is a party in accordance with the laws of its jurisdiction of organization and /or the laws that it, she or he is subject to;</w:t>
      </w:r>
    </w:p>
    <w:p>
      <w:pPr>
        <w:spacing w:after="0" w:line="125" w:lineRule="exact"/>
        <w:rPr>
          <w:rFonts w:ascii="Times New Roman" w:cs="Times New Roman" w:eastAsia="Times New Roman" w:hAnsi="Times New Roman"/>
          <w:sz w:val="13"/>
          <w:szCs w:val="13"/>
          <w:color w:val="auto"/>
        </w:rPr>
      </w:pPr>
    </w:p>
    <w:p>
      <w:pPr>
        <w:spacing w:after="0" w:line="296" w:lineRule="auto"/>
        <w:tabs>
          <w:tab w:leader="none" w:pos="20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Documents presented to us remain if full force and effect on the date of this opinion and have not been revoked, amended or supplements, modifications or other changes have been made, and no revocation or termination has occurred, with respect to any of the Documents after they were submitted to us for the purposes of this opinion;</w:t>
      </w:r>
    </w:p>
    <w:p>
      <w:pPr>
        <w:spacing w:after="0" w:line="113" w:lineRule="exact"/>
        <w:rPr>
          <w:rFonts w:ascii="Times New Roman" w:cs="Times New Roman" w:eastAsia="Times New Roman" w:hAnsi="Times New Roman"/>
          <w:sz w:val="13"/>
          <w:szCs w:val="13"/>
          <w:color w:val="auto"/>
        </w:rPr>
      </w:pPr>
    </w:p>
    <w:p>
      <w:pPr>
        <w:ind w:left="180" w:hanging="180"/>
        <w:spacing w:after="0"/>
        <w:tabs>
          <w:tab w:leader="none" w:pos="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laws of jurisdictions other than the PRC which may be applicable to the execution, delivery, performance or enforcement of the Documents are complied with;</w:t>
      </w:r>
    </w:p>
    <w:p>
      <w:pPr>
        <w:spacing w:after="0" w:line="171" w:lineRule="exact"/>
        <w:rPr>
          <w:rFonts w:ascii="Times New Roman" w:cs="Times New Roman" w:eastAsia="Times New Roman" w:hAnsi="Times New Roman"/>
          <w:sz w:val="13"/>
          <w:szCs w:val="13"/>
          <w:color w:val="auto"/>
        </w:rPr>
      </w:pPr>
    </w:p>
    <w:p>
      <w:pPr>
        <w:spacing w:after="0" w:line="296" w:lineRule="auto"/>
        <w:tabs>
          <w:tab w:leader="none" w:pos="192"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requested Documents have been provided to us and all factual statements made to us by the Company and the PRC Companies in connection with this opinion, including but not limited to the statements set forth in the Documents, are true, correct and complete;</w:t>
      </w:r>
    </w:p>
    <w:p>
      <w:pPr>
        <w:spacing w:after="0" w:line="113" w:lineRule="exact"/>
        <w:rPr>
          <w:rFonts w:ascii="Times New Roman" w:cs="Times New Roman" w:eastAsia="Times New Roman" w:hAnsi="Times New Roman"/>
          <w:sz w:val="13"/>
          <w:szCs w:val="13"/>
          <w:color w:val="auto"/>
        </w:rPr>
      </w:pPr>
    </w:p>
    <w:p>
      <w:pPr>
        <w:ind w:left="180" w:hanging="180"/>
        <w:spacing w:after="0"/>
        <w:tabs>
          <w:tab w:leader="none" w:pos="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explanations and interpretations provided by government officials duly reflect the official position of the relevant Governmental Agencies (as defined below) and are complete, true and correct;</w:t>
      </w:r>
    </w:p>
    <w:p>
      <w:pPr>
        <w:spacing w:after="0" w:line="171" w:lineRule="exact"/>
        <w:rPr>
          <w:rFonts w:ascii="Times New Roman" w:cs="Times New Roman" w:eastAsia="Times New Roman" w:hAnsi="Times New Roman"/>
          <w:sz w:val="13"/>
          <w:szCs w:val="13"/>
          <w:color w:val="auto"/>
        </w:rPr>
      </w:pPr>
    </w:p>
    <w:p>
      <w:pPr>
        <w:ind w:left="180" w:hanging="180"/>
        <w:spacing w:after="0"/>
        <w:tabs>
          <w:tab w:leader="none" w:pos="18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Documents is legal, valid, binding and enforceable in accordance with its respective governing laws in any and all respects; and</w:t>
      </w:r>
    </w:p>
    <w:p>
      <w:pPr>
        <w:spacing w:after="0" w:line="171" w:lineRule="exact"/>
        <w:rPr>
          <w:rFonts w:ascii="Times New Roman" w:cs="Times New Roman" w:eastAsia="Times New Roman" w:hAnsi="Times New Roman"/>
          <w:sz w:val="13"/>
          <w:szCs w:val="13"/>
          <w:color w:val="auto"/>
        </w:rPr>
      </w:pPr>
    </w:p>
    <w:p>
      <w:pPr>
        <w:spacing w:after="0" w:line="296" w:lineRule="auto"/>
        <w:tabs>
          <w:tab w:leader="none" w:pos="192"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Governmental Authorizations (as defined below) and other official statements and documentation obtained by the Company or any PRC Company from any Governmental Agency have been obtained by lawful means in due course, and the Documents provided to us conform with those documents submitted to Governmental Agencies for such purposes.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color w:val="auto"/>
        </w:rPr>
        <w:t>In addition, we have assumed and have not verified the truthfulness, accuracy and completeness as to the factual matters of each Document we have reviewed.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Definitions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to the terms defined in the context of this opinion, the following capitalized terms used in this opinion shall have the meanings ascribed to them as follows.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80" w:type="dxa"/>
            <w:vAlign w:val="bottom"/>
            <w:tcBorders>
              <w:top w:val="single" w:sz="8" w:color="auto"/>
              <w:left w:val="single" w:sz="8" w:color="auto"/>
            </w:tcBorders>
          </w:tcPr>
          <w:p>
            <w:pPr>
              <w:spacing w:after="0"/>
              <w:rPr>
                <w:sz w:val="12"/>
                <w:szCs w:val="12"/>
                <w:color w:val="auto"/>
              </w:rPr>
            </w:pPr>
          </w:p>
        </w:tc>
        <w:tc>
          <w:tcPr>
            <w:tcW w:w="920" w:type="dxa"/>
            <w:vAlign w:val="bottom"/>
            <w:tcBorders>
              <w:top w:val="single" w:sz="8" w:color="auto"/>
              <w:right w:val="single" w:sz="8" w:color="auto"/>
            </w:tcBorders>
            <w:gridSpan w:val="8"/>
          </w:tcPr>
          <w:p>
            <w:pPr>
              <w:spacing w:after="0" w:line="141" w:lineRule="exact"/>
              <w:rPr>
                <w:sz w:val="20"/>
                <w:szCs w:val="20"/>
                <w:color w:val="auto"/>
              </w:rPr>
            </w:pPr>
            <w:r>
              <w:rPr>
                <w:rFonts w:ascii="Times New Roman" w:cs="Times New Roman" w:eastAsia="Times New Roman" w:hAnsi="Times New Roman"/>
                <w:sz w:val="13"/>
                <w:szCs w:val="13"/>
                <w:color w:val="auto"/>
              </w:rPr>
              <w:t>“Governmental</w:t>
            </w:r>
          </w:p>
        </w:tc>
        <w:tc>
          <w:tcPr>
            <w:tcW w:w="10300" w:type="dxa"/>
            <w:vAlign w:val="bottom"/>
            <w:tcBorders>
              <w:top w:val="single" w:sz="8" w:color="auto"/>
              <w:right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means any national, provincial or local governmental, regulatory or administrative authority, agency or commission in the PRC, or any court, tribunal or any other judicial or arbitral body in</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300" w:type="dxa"/>
            <w:vAlign w:val="bottom"/>
            <w:tcBorders>
              <w:right w:val="single" w:sz="8" w:color="auto"/>
            </w:tcBorders>
          </w:tcPr>
          <w:p>
            <w:pPr>
              <w:spacing w:after="0" w:line="20" w:lineRule="exact"/>
              <w:rPr>
                <w:sz w:val="1"/>
                <w:szCs w:val="1"/>
                <w:color w:val="auto"/>
              </w:rPr>
            </w:pPr>
          </w:p>
        </w:tc>
      </w:tr>
      <w:tr>
        <w:trPr>
          <w:trHeight w:val="141"/>
        </w:trPr>
        <w:tc>
          <w:tcPr>
            <w:tcW w:w="80" w:type="dxa"/>
            <w:vAlign w:val="bottom"/>
            <w:tcBorders>
              <w:left w:val="single" w:sz="8" w:color="auto"/>
            </w:tcBorders>
          </w:tcPr>
          <w:p>
            <w:pPr>
              <w:spacing w:after="0"/>
              <w:rPr>
                <w:sz w:val="12"/>
                <w:szCs w:val="12"/>
                <w:color w:val="auto"/>
              </w:rPr>
            </w:pPr>
          </w:p>
        </w:tc>
        <w:tc>
          <w:tcPr>
            <w:tcW w:w="920" w:type="dxa"/>
            <w:vAlign w:val="bottom"/>
            <w:tcBorders>
              <w:right w:val="single" w:sz="8" w:color="auto"/>
            </w:tcBorders>
            <w:gridSpan w:val="8"/>
          </w:tcPr>
          <w:p>
            <w:pPr>
              <w:spacing w:after="0" w:line="141" w:lineRule="exact"/>
              <w:rPr>
                <w:sz w:val="20"/>
                <w:szCs w:val="20"/>
                <w:color w:val="auto"/>
              </w:rPr>
            </w:pPr>
            <w:r>
              <w:rPr>
                <w:rFonts w:ascii="Times New Roman" w:cs="Times New Roman" w:eastAsia="Times New Roman" w:hAnsi="Times New Roman"/>
                <w:sz w:val="13"/>
                <w:szCs w:val="13"/>
                <w:color w:val="auto"/>
              </w:rPr>
              <w:t>Agency”</w:t>
            </w:r>
          </w:p>
        </w:tc>
        <w:tc>
          <w:tcPr>
            <w:tcW w:w="10300" w:type="dxa"/>
            <w:vAlign w:val="bottom"/>
            <w:tcBorders>
              <w:right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the PRC, or any body exercising, or entitled to exercise, any administrative, judicial, legislative, law enforcement, regulatory, or taxing authority or power of a similar nature in the PRC.</w:t>
            </w: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300" w:type="dxa"/>
            <w:vAlign w:val="bottom"/>
            <w:tcBorders>
              <w:bottom w:val="single" w:sz="8" w:color="auto"/>
              <w:right w:val="single" w:sz="8" w:color="auto"/>
            </w:tcBorders>
          </w:tcPr>
          <w:p>
            <w:pPr>
              <w:spacing w:after="0" w:line="20" w:lineRule="exact"/>
              <w:rPr>
                <w:sz w:val="1"/>
                <w:szCs w:val="1"/>
                <w:color w:val="auto"/>
              </w:rPr>
            </w:pPr>
          </w:p>
        </w:tc>
      </w:tr>
      <w:tr>
        <w:trPr>
          <w:trHeight w:val="111"/>
        </w:trPr>
        <w:tc>
          <w:tcPr>
            <w:tcW w:w="80" w:type="dxa"/>
            <w:vAlign w:val="bottom"/>
            <w:tcBorders>
              <w:left w:val="single" w:sz="8" w:color="auto"/>
            </w:tcBorders>
          </w:tcPr>
          <w:p>
            <w:pPr>
              <w:spacing w:after="0"/>
              <w:rPr>
                <w:sz w:val="9"/>
                <w:szCs w:val="9"/>
                <w:color w:val="auto"/>
              </w:rPr>
            </w:pPr>
          </w:p>
        </w:tc>
        <w:tc>
          <w:tcPr>
            <w:tcW w:w="920" w:type="dxa"/>
            <w:vAlign w:val="bottom"/>
            <w:tcBorders>
              <w:right w:val="single" w:sz="8" w:color="auto"/>
            </w:tcBorders>
            <w:gridSpan w:val="8"/>
          </w:tcPr>
          <w:p>
            <w:pPr>
              <w:spacing w:after="0" w:line="111" w:lineRule="exact"/>
              <w:rPr>
                <w:sz w:val="20"/>
                <w:szCs w:val="20"/>
                <w:color w:val="auto"/>
              </w:rPr>
            </w:pPr>
            <w:r>
              <w:rPr>
                <w:rFonts w:ascii="Times New Roman" w:cs="Times New Roman" w:eastAsia="Times New Roman" w:hAnsi="Times New Roman"/>
                <w:sz w:val="12"/>
                <w:szCs w:val="12"/>
                <w:color w:val="auto"/>
              </w:rPr>
              <w:t>“Governmental</w:t>
            </w:r>
          </w:p>
        </w:tc>
        <w:tc>
          <w:tcPr>
            <w:tcW w:w="10300" w:type="dxa"/>
            <w:vAlign w:val="bottom"/>
            <w:tcBorders>
              <w:right w:val="single" w:sz="8" w:color="auto"/>
            </w:tcBorders>
          </w:tcPr>
          <w:p>
            <w:pPr>
              <w:ind w:left="60"/>
              <w:spacing w:after="0" w:line="111" w:lineRule="exact"/>
              <w:rPr>
                <w:sz w:val="20"/>
                <w:szCs w:val="20"/>
                <w:color w:val="auto"/>
              </w:rPr>
            </w:pPr>
            <w:r>
              <w:rPr>
                <w:rFonts w:ascii="Times New Roman" w:cs="Times New Roman" w:eastAsia="Times New Roman" w:hAnsi="Times New Roman"/>
                <w:sz w:val="12"/>
                <w:szCs w:val="12"/>
                <w:color w:val="auto"/>
              </w:rPr>
              <w:t>means any license, approval, consent, waiver order, sanction, certificate, authorization, filing, declaration, disclosure, registration, exemption, permission, endorsement, annual inspection,</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300" w:type="dxa"/>
            <w:vAlign w:val="bottom"/>
            <w:tcBorders>
              <w:right w:val="single" w:sz="8" w:color="auto"/>
            </w:tcBorders>
          </w:tcPr>
          <w:p>
            <w:pPr>
              <w:spacing w:after="0" w:line="20" w:lineRule="exact"/>
              <w:rPr>
                <w:sz w:val="1"/>
                <w:szCs w:val="1"/>
                <w:color w:val="auto"/>
              </w:rPr>
            </w:pPr>
          </w:p>
        </w:tc>
      </w:tr>
      <w:tr>
        <w:trPr>
          <w:trHeight w:val="141"/>
        </w:trPr>
        <w:tc>
          <w:tcPr>
            <w:tcW w:w="80" w:type="dxa"/>
            <w:vAlign w:val="bottom"/>
            <w:tcBorders>
              <w:left w:val="single" w:sz="8" w:color="auto"/>
            </w:tcBorders>
          </w:tcPr>
          <w:p>
            <w:pPr>
              <w:spacing w:after="0"/>
              <w:rPr>
                <w:sz w:val="12"/>
                <w:szCs w:val="12"/>
                <w:color w:val="auto"/>
              </w:rPr>
            </w:pPr>
          </w:p>
        </w:tc>
        <w:tc>
          <w:tcPr>
            <w:tcW w:w="920" w:type="dxa"/>
            <w:vAlign w:val="bottom"/>
            <w:tcBorders>
              <w:right w:val="single" w:sz="8" w:color="auto"/>
            </w:tcBorders>
            <w:gridSpan w:val="8"/>
          </w:tcPr>
          <w:p>
            <w:pPr>
              <w:spacing w:after="0" w:line="141" w:lineRule="exact"/>
              <w:rPr>
                <w:sz w:val="20"/>
                <w:szCs w:val="20"/>
                <w:color w:val="auto"/>
              </w:rPr>
            </w:pPr>
            <w:r>
              <w:rPr>
                <w:rFonts w:ascii="Times New Roman" w:cs="Times New Roman" w:eastAsia="Times New Roman" w:hAnsi="Times New Roman"/>
                <w:sz w:val="13"/>
                <w:szCs w:val="13"/>
                <w:color w:val="auto"/>
              </w:rPr>
              <w:t>Authorization”</w:t>
            </w:r>
          </w:p>
        </w:tc>
        <w:tc>
          <w:tcPr>
            <w:tcW w:w="10300" w:type="dxa"/>
            <w:vAlign w:val="bottom"/>
            <w:tcBorders>
              <w:right w:val="single" w:sz="8" w:color="auto"/>
            </w:tcBorders>
          </w:tcPr>
          <w:p>
            <w:pPr>
              <w:ind w:left="60"/>
              <w:spacing w:after="0" w:line="141" w:lineRule="exact"/>
              <w:rPr>
                <w:sz w:val="20"/>
                <w:szCs w:val="20"/>
                <w:color w:val="auto"/>
              </w:rPr>
            </w:pPr>
            <w:r>
              <w:rPr>
                <w:rFonts w:ascii="Times New Roman" w:cs="Times New Roman" w:eastAsia="Times New Roman" w:hAnsi="Times New Roman"/>
                <w:sz w:val="13"/>
                <w:szCs w:val="13"/>
                <w:color w:val="auto"/>
              </w:rPr>
              <w:t>clearance, qualification, permit or license by, from or with any Governmental Agency pursuant to any PRC Laws.</w:t>
            </w: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300" w:type="dxa"/>
            <w:vAlign w:val="bottom"/>
            <w:tcBorders>
              <w:bottom w:val="single" w:sz="8" w:color="auto"/>
              <w:right w:val="single" w:sz="8" w:color="auto"/>
            </w:tcBorders>
          </w:tcPr>
          <w:p>
            <w:pPr>
              <w:spacing w:after="0" w:line="20" w:lineRule="exact"/>
              <w:rPr>
                <w:sz w:val="1"/>
                <w:szCs w:val="1"/>
                <w:color w:val="auto"/>
              </w:rPr>
            </w:pPr>
          </w:p>
        </w:tc>
      </w:tr>
      <w:tr>
        <w:trPr>
          <w:trHeight w:val="111"/>
        </w:trPr>
        <w:tc>
          <w:tcPr>
            <w:tcW w:w="80" w:type="dxa"/>
            <w:vAlign w:val="bottom"/>
            <w:tcBorders>
              <w:left w:val="single" w:sz="8" w:color="auto"/>
            </w:tcBorders>
          </w:tcPr>
          <w:p>
            <w:pPr>
              <w:spacing w:after="0"/>
              <w:rPr>
                <w:sz w:val="9"/>
                <w:szCs w:val="9"/>
                <w:color w:val="auto"/>
              </w:rPr>
            </w:pPr>
          </w:p>
        </w:tc>
        <w:tc>
          <w:tcPr>
            <w:tcW w:w="920" w:type="dxa"/>
            <w:vAlign w:val="bottom"/>
            <w:tcBorders>
              <w:right w:val="single" w:sz="8" w:color="auto"/>
            </w:tcBorders>
            <w:gridSpan w:val="8"/>
          </w:tcPr>
          <w:p>
            <w:pPr>
              <w:spacing w:after="0" w:line="111" w:lineRule="exact"/>
              <w:rPr>
                <w:sz w:val="20"/>
                <w:szCs w:val="20"/>
                <w:color w:val="auto"/>
              </w:rPr>
            </w:pPr>
            <w:r>
              <w:rPr>
                <w:rFonts w:ascii="Times New Roman" w:cs="Times New Roman" w:eastAsia="Times New Roman" w:hAnsi="Times New Roman"/>
                <w:sz w:val="12"/>
                <w:szCs w:val="12"/>
                <w:color w:val="auto"/>
              </w:rPr>
              <w:t>“PRC</w:t>
            </w:r>
          </w:p>
        </w:tc>
        <w:tc>
          <w:tcPr>
            <w:tcW w:w="10300" w:type="dxa"/>
            <w:vAlign w:val="bottom"/>
            <w:tcBorders>
              <w:right w:val="single" w:sz="8" w:color="auto"/>
            </w:tcBorders>
          </w:tcPr>
          <w:p>
            <w:pPr>
              <w:ind w:left="60"/>
              <w:spacing w:after="0" w:line="111" w:lineRule="exact"/>
              <w:rPr>
                <w:sz w:val="20"/>
                <w:szCs w:val="20"/>
                <w:color w:val="auto"/>
              </w:rPr>
            </w:pPr>
            <w:r>
              <w:rPr>
                <w:rFonts w:ascii="Times New Roman" w:cs="Times New Roman" w:eastAsia="Times New Roman" w:hAnsi="Times New Roman"/>
                <w:sz w:val="12"/>
                <w:szCs w:val="12"/>
                <w:color w:val="auto"/>
              </w:rPr>
              <w:t>mean, collectively, all entities in the PRC consolidated by financial statements of Company, and each, a “PRC company”.</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gridSpan w:val="3"/>
          </w:tcPr>
          <w:p>
            <w:pPr>
              <w:spacing w:after="0" w:line="20" w:lineRule="exact"/>
              <w:rPr>
                <w:sz w:val="1"/>
                <w:szCs w:val="1"/>
                <w:color w:val="auto"/>
              </w:rPr>
            </w:pPr>
          </w:p>
        </w:tc>
        <w:tc>
          <w:tcPr>
            <w:tcW w:w="10300" w:type="dxa"/>
            <w:vAlign w:val="bottom"/>
            <w:tcBorders>
              <w:right w:val="single" w:sz="8" w:color="auto"/>
            </w:tcBorders>
          </w:tcPr>
          <w:p>
            <w:pPr>
              <w:spacing w:after="0" w:line="20" w:lineRule="exact"/>
              <w:rPr>
                <w:sz w:val="1"/>
                <w:szCs w:val="1"/>
                <w:color w:val="auto"/>
              </w:rPr>
            </w:pPr>
          </w:p>
        </w:tc>
      </w:tr>
      <w:tr>
        <w:trPr>
          <w:trHeight w:val="141"/>
        </w:trPr>
        <w:tc>
          <w:tcPr>
            <w:tcW w:w="80" w:type="dxa"/>
            <w:vAlign w:val="bottom"/>
            <w:tcBorders>
              <w:left w:val="single" w:sz="8" w:color="auto"/>
            </w:tcBorders>
          </w:tcPr>
          <w:p>
            <w:pPr>
              <w:spacing w:after="0"/>
              <w:rPr>
                <w:sz w:val="12"/>
                <w:szCs w:val="12"/>
                <w:color w:val="auto"/>
              </w:rPr>
            </w:pPr>
          </w:p>
        </w:tc>
        <w:tc>
          <w:tcPr>
            <w:tcW w:w="920" w:type="dxa"/>
            <w:vAlign w:val="bottom"/>
            <w:tcBorders>
              <w:right w:val="single" w:sz="8" w:color="auto"/>
            </w:tcBorders>
            <w:gridSpan w:val="8"/>
          </w:tcPr>
          <w:p>
            <w:pPr>
              <w:spacing w:after="0" w:line="141" w:lineRule="exact"/>
              <w:rPr>
                <w:sz w:val="20"/>
                <w:szCs w:val="20"/>
                <w:color w:val="auto"/>
              </w:rPr>
            </w:pPr>
            <w:r>
              <w:rPr>
                <w:rFonts w:ascii="Times New Roman" w:cs="Times New Roman" w:eastAsia="Times New Roman" w:hAnsi="Times New Roman"/>
                <w:sz w:val="13"/>
                <w:szCs w:val="13"/>
                <w:color w:val="auto"/>
              </w:rPr>
              <w:t>Companies”</w:t>
            </w:r>
          </w:p>
        </w:tc>
        <w:tc>
          <w:tcPr>
            <w:tcW w:w="10300" w:type="dxa"/>
            <w:vAlign w:val="bottom"/>
            <w:tcBorders>
              <w:right w:val="single" w:sz="8" w:color="auto"/>
            </w:tcBorders>
          </w:tcPr>
          <w:p>
            <w:pPr>
              <w:spacing w:after="0"/>
              <w:rPr>
                <w:sz w:val="12"/>
                <w:szCs w:val="12"/>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300" w:type="dxa"/>
            <w:vAlign w:val="bottom"/>
            <w:tcBorders>
              <w:bottom w:val="single" w:sz="8" w:color="auto"/>
              <w:right w:val="single" w:sz="8" w:color="auto"/>
            </w:tcBorders>
          </w:tcPr>
          <w:p>
            <w:pPr>
              <w:spacing w:after="0" w:line="20" w:lineRule="exact"/>
              <w:rPr>
                <w:sz w:val="1"/>
                <w:szCs w:val="1"/>
                <w:color w:val="auto"/>
              </w:rPr>
            </w:pPr>
          </w:p>
        </w:tc>
      </w:tr>
      <w:tr>
        <w:trPr>
          <w:trHeight w:val="111"/>
        </w:trPr>
        <w:tc>
          <w:tcPr>
            <w:tcW w:w="80" w:type="dxa"/>
            <w:vAlign w:val="bottom"/>
            <w:tcBorders>
              <w:left w:val="single" w:sz="8" w:color="auto"/>
            </w:tcBorders>
          </w:tcPr>
          <w:p>
            <w:pPr>
              <w:spacing w:after="0"/>
              <w:rPr>
                <w:sz w:val="9"/>
                <w:szCs w:val="9"/>
                <w:color w:val="auto"/>
              </w:rPr>
            </w:pPr>
          </w:p>
        </w:tc>
        <w:tc>
          <w:tcPr>
            <w:tcW w:w="920" w:type="dxa"/>
            <w:vAlign w:val="bottom"/>
            <w:tcBorders>
              <w:right w:val="single" w:sz="8" w:color="auto"/>
            </w:tcBorders>
            <w:gridSpan w:val="8"/>
          </w:tcPr>
          <w:p>
            <w:pPr>
              <w:spacing w:after="0" w:line="111" w:lineRule="exact"/>
              <w:rPr>
                <w:sz w:val="20"/>
                <w:szCs w:val="20"/>
                <w:color w:val="auto"/>
              </w:rPr>
            </w:pPr>
            <w:r>
              <w:rPr>
                <w:rFonts w:ascii="Times New Roman" w:cs="Times New Roman" w:eastAsia="Times New Roman" w:hAnsi="Times New Roman"/>
                <w:sz w:val="12"/>
                <w:szCs w:val="12"/>
                <w:color w:val="auto"/>
              </w:rPr>
              <w:t>“PRC Laws”</w:t>
            </w:r>
          </w:p>
        </w:tc>
        <w:tc>
          <w:tcPr>
            <w:tcW w:w="10300" w:type="dxa"/>
            <w:vAlign w:val="bottom"/>
            <w:tcBorders>
              <w:right w:val="single" w:sz="8" w:color="auto"/>
            </w:tcBorders>
          </w:tcPr>
          <w:p>
            <w:pPr>
              <w:ind w:left="60"/>
              <w:spacing w:after="0" w:line="111" w:lineRule="exact"/>
              <w:rPr>
                <w:sz w:val="20"/>
                <w:szCs w:val="20"/>
                <w:color w:val="auto"/>
              </w:rPr>
            </w:pPr>
            <w:r>
              <w:rPr>
                <w:rFonts w:ascii="Times New Roman" w:cs="Times New Roman" w:eastAsia="Times New Roman" w:hAnsi="Times New Roman"/>
                <w:sz w:val="12"/>
                <w:szCs w:val="12"/>
                <w:color w:val="auto"/>
              </w:rPr>
              <w:t>mean all applicable national, provincial and local laws, regulations, rules, notices, orders, decrees and judicial interpretations of the PRC currently in effect and publicly available on the</w:t>
            </w:r>
          </w:p>
        </w:tc>
      </w:tr>
      <w:tr>
        <w:trPr>
          <w:trHeight w:val="171"/>
        </w:trPr>
        <w:tc>
          <w:tcPr>
            <w:tcW w:w="80" w:type="dxa"/>
            <w:vAlign w:val="bottom"/>
            <w:tcBorders>
              <w:left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date of this opinion.</w:t>
            </w:r>
          </w:p>
        </w:tc>
      </w:tr>
      <w:tr>
        <w:trPr>
          <w:trHeight w:val="311"/>
        </w:trPr>
        <w:tc>
          <w:tcPr>
            <w:tcW w:w="100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C. Opinions</w:t>
            </w:r>
          </w:p>
        </w:tc>
        <w:tc>
          <w:tcPr>
            <w:tcW w:w="10300" w:type="dxa"/>
            <w:vAlign w:val="bottom"/>
          </w:tcPr>
          <w:p>
            <w:pPr>
              <w:spacing w:after="0"/>
              <w:rPr>
                <w:sz w:val="24"/>
                <w:szCs w:val="24"/>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our review of the Documents and subject to the Assumptions and the Qualifications (as defined below), we are of the opinion as of the date hereto that:</w:t>
      </w:r>
    </w:p>
    <w:p>
      <w:pPr>
        <w:spacing w:after="0" w:line="172" w:lineRule="exact"/>
        <w:rPr>
          <w:sz w:val="20"/>
          <w:szCs w:val="20"/>
          <w:color w:val="auto"/>
        </w:rPr>
      </w:pPr>
    </w:p>
    <w:p>
      <w:pPr>
        <w:spacing w:after="0" w:line="515" w:lineRule="auto"/>
        <w:tabs>
          <w:tab w:leader="none" w:pos="134"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Taxation</w:t>
      </w:r>
      <w:r>
        <w:rPr>
          <w:rFonts w:ascii="Times New Roman" w:cs="Times New Roman" w:eastAsia="Times New Roman" w:hAnsi="Times New Roman"/>
          <w:sz w:val="13"/>
          <w:szCs w:val="13"/>
          <w:color w:val="auto"/>
        </w:rPr>
        <w:t>.The statements made in the Registration Statement under the caption “Taxation” with respect to the PRC tax laws and regulations, constitute true and accurate described therein in all material aspects. Our opinion expressed above is subject to the following qualifications (the “</w:t>
      </w:r>
      <w:r>
        <w:rPr>
          <w:rFonts w:ascii="Times New Roman" w:cs="Times New Roman" w:eastAsia="Times New Roman" w:hAnsi="Times New Roman"/>
          <w:sz w:val="13"/>
          <w:szCs w:val="13"/>
          <w:u w:val="single" w:color="auto"/>
          <w:color w:val="auto"/>
        </w:rPr>
        <w:t>Qualifications</w:t>
      </w:r>
      <w:r>
        <w:rPr>
          <w:rFonts w:ascii="Times New Roman" w:cs="Times New Roman" w:eastAsia="Times New Roman" w:hAnsi="Times New Roman"/>
          <w:sz w:val="13"/>
          <w:szCs w:val="13"/>
          <w:color w:val="auto"/>
        </w:rPr>
        <w:t>”):</w:t>
      </w:r>
    </w:p>
    <w:p>
      <w:pPr>
        <w:spacing w:after="0" w:line="1" w:lineRule="exact"/>
        <w:rPr>
          <w:sz w:val="20"/>
          <w:szCs w:val="20"/>
          <w:color w:val="auto"/>
        </w:rPr>
      </w:pPr>
    </w:p>
    <w:p>
      <w:pPr>
        <w:spacing w:after="0" w:line="296" w:lineRule="auto"/>
        <w:tabs>
          <w:tab w:leader="none" w:pos="192"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opinion is limited to PRC Laws of general application on the date hereof. We have made no investigation of, and do not express or imply any views on, the laws and regulations of any jurisdiction other than the PRC, and we have assumed that such other laws or regulations would affect our opinions expressed above.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4" w:name="page95"/>
    <w:bookmarkEnd w:id="94"/>
    <w:p>
      <w:pPr>
        <w:spacing w:after="0" w:line="296" w:lineRule="auto"/>
        <w:tabs>
          <w:tab w:leader="none" w:pos="19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PRC Laws referred to herein are the laws and regulations publicly available and currently in force on the date hereof and there is no guarantee that any of such PRC Laws, or the interpretation or enforcement thereof, will not be changed, amended or revoked in the future with or without retrospective effect.</w:t>
      </w:r>
    </w:p>
    <w:p>
      <w:pPr>
        <w:spacing w:after="0" w:line="113" w:lineRule="exact"/>
        <w:rPr>
          <w:rFonts w:ascii="Times New Roman" w:cs="Times New Roman" w:eastAsia="Times New Roman" w:hAnsi="Times New Roman"/>
          <w:sz w:val="13"/>
          <w:szCs w:val="13"/>
          <w:color w:val="auto"/>
        </w:rPr>
      </w:pPr>
    </w:p>
    <w:p>
      <w:pPr>
        <w:spacing w:after="0" w:line="296" w:lineRule="auto"/>
        <w:tabs>
          <w:tab w:leader="none" w:pos="2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opinion is subject to (i) applicable bankruptcy, insolvency, fraudulent transfer, reorganization, moratorium or similar laws in the PRC affecting creditors’ rights generally, and (ii) possible judicial or administrative actions or any PRC Laws affecting creditors’ rights.</w:t>
      </w:r>
    </w:p>
    <w:p>
      <w:pPr>
        <w:spacing w:after="0" w:line="113" w:lineRule="exact"/>
        <w:rPr>
          <w:rFonts w:ascii="Times New Roman" w:cs="Times New Roman" w:eastAsia="Times New Roman" w:hAnsi="Times New Roman"/>
          <w:sz w:val="13"/>
          <w:szCs w:val="13"/>
          <w:color w:val="auto"/>
        </w:rPr>
      </w:pPr>
    </w:p>
    <w:p>
      <w:pPr>
        <w:jc w:val="both"/>
        <w:spacing w:after="0" w:line="270" w:lineRule="auto"/>
        <w:tabs>
          <w:tab w:leader="none" w:pos="202"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opinion is subject to the effects of (i) certain legal or statutory principles affecting the validity and enforceability of contractual rights generally under the concepts of public interests, social ethics, national security, good faith, fair dealing, and applicable statues of limitation, (ii) any circumstances in connection with the formulation, execution or performance of any legal documents that would be deemed materially mistaken, clearly unconscionable, fraudulent, coercionary or concealing illegal intentions with a lawful form, (iii) judicial discretion with respect to the availability of specific performance, injunctive relief, remedies or defenses, or the calculation of damages, and (iv) the discretion of any competent PRC legislative, administrative or judicial bodies in exercising their authority in the PRC.</w:t>
      </w:r>
    </w:p>
    <w:p>
      <w:pPr>
        <w:spacing w:after="0" w:line="130" w:lineRule="exact"/>
        <w:rPr>
          <w:rFonts w:ascii="Times New Roman" w:cs="Times New Roman" w:eastAsia="Times New Roman" w:hAnsi="Times New Roman"/>
          <w:sz w:val="13"/>
          <w:szCs w:val="13"/>
          <w:color w:val="auto"/>
        </w:rPr>
      </w:pPr>
    </w:p>
    <w:p>
      <w:pPr>
        <w:jc w:val="both"/>
        <w:spacing w:after="0" w:line="277" w:lineRule="auto"/>
        <w:tabs>
          <w:tab w:leader="none" w:pos="195"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issued based on our understanding of PRC Laws. For matters not explicitly provided under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and there can be no assurance that the Governmental Agencies will not take a view that is contrary to or otherwise different from our opinion stated herein.</w:t>
      </w:r>
    </w:p>
    <w:p>
      <w:pPr>
        <w:spacing w:after="0" w:line="125" w:lineRule="exact"/>
        <w:rPr>
          <w:rFonts w:ascii="Times New Roman" w:cs="Times New Roman" w:eastAsia="Times New Roman" w:hAnsi="Times New Roman"/>
          <w:sz w:val="13"/>
          <w:szCs w:val="13"/>
          <w:color w:val="auto"/>
        </w:rPr>
      </w:pPr>
    </w:p>
    <w:p>
      <w:pPr>
        <w:jc w:val="both"/>
        <w:spacing w:after="0" w:line="267" w:lineRule="auto"/>
        <w:tabs>
          <w:tab w:leader="none" w:pos="19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“enforceable” or “enforceability” as used in this opinion means that the obligations assumed by the relevant Documents assumed by the relevant obligors under the relevant Documents are of a type which the courts of the PRC may enforce. It dose not mean that those obligations will necessarily be enforced in all circumstances in accordance with their respective terms and/or additional terms that may be imposed by the courts. As used in this opinion, the expression “to our knowledge” or similar language with reference to matters of fact refers to the current, actual knowledge of the attorneys of this firm who have worked on matters for the Company and the PRC Companies in connection with this opinion. We may rely, as to matters of fact (but not as to legal conclusions), to the extent we deem proper, on certificates, statements and confirmations made by the responsible officers of the Company, the PRC Companies and/or the Governmental Agencies.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5" w:name="page96"/>
    <w:bookmarkEnd w:id="95"/>
    <w:p>
      <w:pPr>
        <w:spacing w:after="0" w:line="296" w:lineRule="auto"/>
        <w:tabs>
          <w:tab w:leader="none" w:pos="191"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not undertaken any independent investigation, search or other verification action to determine the existence or absence of any fact or to prepare this opinion, and no inference as to our knowledge of the existence or absence of any fact should be drawn from our representation of the Company or the PRC Companies or the rendering of this opinion.</w:t>
      </w:r>
    </w:p>
    <w:p>
      <w:pPr>
        <w:spacing w:after="0" w:line="113" w:lineRule="exact"/>
        <w:rPr>
          <w:rFonts w:ascii="Times New Roman" w:cs="Times New Roman" w:eastAsia="Times New Roman" w:hAnsi="Times New Roman"/>
          <w:sz w:val="13"/>
          <w:szCs w:val="13"/>
          <w:color w:val="auto"/>
        </w:rPr>
      </w:pPr>
    </w:p>
    <w:p>
      <w:pPr>
        <w:ind w:left="180" w:hanging="180"/>
        <w:spacing w:after="0"/>
        <w:tabs>
          <w:tab w:leader="none" w:pos="1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opinion is intended to be used in the context which is specifically referred to herein, and each paragraph shall be construed as a whole and no part shall be extracted and referred to independently.</w:t>
      </w:r>
    </w:p>
    <w:p>
      <w:pPr>
        <w:spacing w:after="0" w:line="1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color w:val="auto"/>
        </w:rPr>
        <w:t>The opinion expressed herein is solely for the benefit of the Company and without our prior written consent, neither our opinions nor this opinion may be disclosed to or relied upon by any other person. We hereby consent to the use of this opinion in, and the filling hereof as an exhibit to the Registration Document, and to the reference to our name in such Registration Statement.</w:t>
      </w:r>
    </w:p>
    <w:p>
      <w:pPr>
        <w:spacing w:after="0" w:line="11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3"/>
          <w:szCs w:val="13"/>
          <w:color w:val="auto"/>
        </w:rPr>
        <w:t>This opinion is strictly limited to the matters stated herein and no opinion is implied or may be inferred beyond the matters expressly stated herein. The opinion expressed herein is rendered only as of the date hereof, and we assume no responsibility to advise you of facts, circumstances, events or developments that hereafter may be brought to our attention and that may alter, affect or modify the opinion expressed herein.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(Remainder of Page Intentionally Left Blank)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Hairun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286956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2869565" cy="1270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Hairun Law Firm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724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67245"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447800" cy="267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1447800" cy="26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 on Form F-3 of our reports dated April 28, 2026, relating to the financial statements of AIFU Inc. (formally known as “AIX Inc.” and “Fanhua Inc.”) and the effectiveness of AIFU Inc. (formally known as “ AIX Inc. “ and “ Fanhua Inc.”) internal control over financial reporting, appearing in the Annual Report on Form 20-F for the year ended December 31, 2025. We also consent to the reference to us under the heading “Experts” in such Registration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Enrome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Singapore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26, 2026</w:t>
      </w:r>
    </w:p>
    <w:p>
      <w:pPr>
        <w:sectPr>
          <w:pgSz w:w="11900" w:h="16838" w:orient="portrait"/>
          <w:cols w:equalWidth="0" w:num="1">
            <w:col w:w="11280"/>
          </w:cols>
          <w:pgMar w:left="300" w:top="123" w:right="31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Enrome LLP</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143 Cecil Street #19-03/04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GB Building Singapore 069542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admin@enrome-group.com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www.enrome-group.com</w:t>
      </w:r>
    </w:p>
    <w:p>
      <w:pPr>
        <w:sectPr>
          <w:pgSz w:w="11900" w:h="16838" w:orient="portrait"/>
          <w:cols w:equalWidth="0" w:num="3">
            <w:col w:w="3000" w:space="720"/>
            <w:col w:w="3140" w:space="720"/>
            <w:col w:w="3700"/>
          </w:cols>
          <w:pgMar w:left="300" w:top="123" w:right="31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3"/>
          <w:szCs w:val="13"/>
          <w:b w:val="1"/>
          <w:bCs w:val="1"/>
          <w:color w:val="auto"/>
        </w:rPr>
        <w:t>Exhibit 23.2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3"/>
          <w:szCs w:val="13"/>
          <w:color w:val="auto"/>
        </w:rPr>
        <w:t>We consent to the incorporation by reference in this Registration Statement on Form F-3 of our report dated April 29, 2024, relating to the financial statements of AIFU Inc. (formerly known as “AIX Inc.” and “Fanhua Inc.”) appearing in the Annual Report on Form 20-F of AIFU Inc. for the year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also consent to the reference to us under the heading “Experts” in such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Touche Tohmatsu Certified Public Accountants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Shenzhen, the People’s 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26, 2026</w:t>
      </w:r>
    </w:p>
    <w:p>
      <w:pPr>
        <w:sectPr>
          <w:pgSz w:w="11900" w:h="16838" w:orient="portrait"/>
          <w:cols w:equalWidth="0" w:num="1">
            <w:col w:w="11280"/>
          </w:cols>
          <w:pgMar w:left="300" w:top="123" w:right="319" w:bottom="1440" w:gutter="0" w:footer="0" w:header="0"/>
        </w:sectPr>
      </w:pPr>
    </w:p>
    <w:bookmarkStart w:id="98" w:name="page99"/>
    <w:bookmarkEnd w:id="98"/>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2" w:lineRule="exact"/>
        <w:rPr>
          <w:sz w:val="20"/>
          <w:szCs w:val="20"/>
          <w:color w:val="auto"/>
        </w:rPr>
      </w:pPr>
    </w:p>
    <w:p>
      <w:pPr>
        <w:ind w:left="5380"/>
        <w:spacing w:after="0"/>
        <w:rPr>
          <w:sz w:val="20"/>
          <w:szCs w:val="20"/>
          <w:color w:val="auto"/>
        </w:rPr>
      </w:pPr>
      <w:r>
        <w:rPr>
          <w:rFonts w:ascii="Arial" w:cs="Arial" w:eastAsia="Arial" w:hAnsi="Arial"/>
          <w:sz w:val="27"/>
          <w:szCs w:val="27"/>
          <w:b w:val="1"/>
          <w:bCs w:val="1"/>
          <w:color w:val="auto"/>
        </w:rPr>
        <w:t>F-3</w:t>
      </w:r>
    </w:p>
    <w:p>
      <w:pPr>
        <w:spacing w:after="0" w:line="91"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AIFU Inc.</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3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7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81"/>
        </w:trPr>
        <w:tc>
          <w:tcPr>
            <w:tcW w:w="1800" w:type="dxa"/>
            <w:vAlign w:val="bottom"/>
          </w:tcPr>
          <w:p>
            <w:pPr>
              <w:jc w:val="center"/>
              <w:ind w:left="880"/>
              <w:spacing w:after="0" w:line="181" w:lineRule="exact"/>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Security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Calculation</w:t>
            </w:r>
          </w:p>
        </w:tc>
        <w:tc>
          <w:tcPr>
            <w:tcW w:w="9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Amount</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Maximum</w:t>
            </w: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Maximum</w:t>
            </w:r>
          </w:p>
        </w:tc>
        <w:tc>
          <w:tcPr>
            <w:tcW w:w="1780" w:type="dxa"/>
            <w:vAlign w:val="bottom"/>
          </w:tcPr>
          <w:p>
            <w:pPr>
              <w:jc w:val="center"/>
              <w:ind w:left="740"/>
              <w:spacing w:after="0" w:line="181" w:lineRule="exact"/>
              <w:rPr>
                <w:sz w:val="20"/>
                <w:szCs w:val="20"/>
                <w:color w:val="auto"/>
              </w:rPr>
            </w:pPr>
            <w:r>
              <w:rPr>
                <w:rFonts w:ascii="Arial" w:cs="Arial" w:eastAsia="Arial" w:hAnsi="Arial"/>
                <w:sz w:val="16"/>
                <w:szCs w:val="16"/>
                <w:b w:val="1"/>
                <w:bCs w:val="1"/>
                <w:color w:val="auto"/>
                <w:w w:val="99"/>
              </w:rPr>
              <w:t>Amount of</w:t>
            </w:r>
          </w:p>
        </w:tc>
        <w:tc>
          <w:tcPr>
            <w:tcW w:w="136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Forward</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1"/>
        </w:trPr>
        <w:tc>
          <w:tcPr>
            <w:tcW w:w="1800" w:type="dxa"/>
            <w:vAlign w:val="bottom"/>
          </w:tcPr>
          <w:p>
            <w:pPr>
              <w:jc w:val="center"/>
              <w:ind w:left="880"/>
              <w:spacing w:after="0" w:line="181" w:lineRule="exact"/>
              <w:rPr>
                <w:sz w:val="20"/>
                <w:szCs w:val="20"/>
                <w:color w:val="auto"/>
              </w:rPr>
            </w:pPr>
            <w:r>
              <w:rPr>
                <w:rFonts w:ascii="Arial" w:cs="Arial" w:eastAsia="Arial" w:hAnsi="Arial"/>
                <w:sz w:val="16"/>
                <w:szCs w:val="16"/>
                <w:b w:val="1"/>
                <w:bCs w:val="1"/>
                <w:color w:val="auto"/>
                <w:w w:val="96"/>
              </w:rPr>
              <w:t>Type</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Class Title</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or Carry</w:t>
            </w:r>
          </w:p>
        </w:tc>
        <w:tc>
          <w:tcPr>
            <w:tcW w:w="9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Offering</w:t>
            </w: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178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Form</w:t>
            </w: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4"/>
              </w:rPr>
              <w:t>File</w:t>
            </w: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Initial</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Forward</w:t>
            </w:r>
          </w:p>
        </w:tc>
        <w:tc>
          <w:tcPr>
            <w:tcW w:w="92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Price Per</w:t>
            </w: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Offering Price</w:t>
            </w:r>
          </w:p>
        </w:tc>
        <w:tc>
          <w:tcPr>
            <w:tcW w:w="1780" w:type="dxa"/>
            <w:vAlign w:val="bottom"/>
          </w:tcPr>
          <w:p>
            <w:pPr>
              <w:jc w:val="center"/>
              <w:ind w:left="740"/>
              <w:spacing w:after="0" w:line="181"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92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-828675</wp:posOffset>
            </wp:positionV>
            <wp:extent cx="7216775" cy="5490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16775" cy="5490210"/>
                    </a:xfrm>
                    <a:prstGeom prst="rect">
                      <a:avLst/>
                    </a:prstGeom>
                    <a:noFill/>
                  </pic:spPr>
                </pic:pic>
              </a:graphicData>
            </a:graphic>
          </wp:anchor>
        </w:drawing>
      </w:r>
    </w:p>
    <w:p>
      <w:pPr>
        <w:jc w:val="center"/>
        <w:ind w:left="10480"/>
        <w:spacing w:after="0" w:line="235" w:lineRule="auto"/>
        <w:rPr>
          <w:sz w:val="20"/>
          <w:szCs w:val="20"/>
          <w:color w:val="auto"/>
        </w:rPr>
      </w:pPr>
      <w:r>
        <w:rPr>
          <w:rFonts w:ascii="Arial" w:cs="Arial" w:eastAsia="Arial" w:hAnsi="Arial"/>
          <w:sz w:val="16"/>
          <w:szCs w:val="16"/>
          <w:b w:val="1"/>
          <w:bCs w:val="1"/>
          <w:color w:val="auto"/>
        </w:rPr>
        <w:t>to be</w:t>
      </w:r>
    </w:p>
    <w:p>
      <w:pPr>
        <w:jc w:val="center"/>
        <w:ind w:left="10480"/>
        <w:spacing w:after="0" w:line="236" w:lineRule="auto"/>
        <w:rPr>
          <w:sz w:val="20"/>
          <w:szCs w:val="20"/>
          <w:color w:val="auto"/>
        </w:rPr>
      </w:pPr>
      <w:r>
        <w:rPr>
          <w:rFonts w:ascii="Arial" w:cs="Arial" w:eastAsia="Arial" w:hAnsi="Arial"/>
          <w:sz w:val="16"/>
          <w:szCs w:val="16"/>
          <w:b w:val="1"/>
          <w:bCs w:val="1"/>
          <w:color w:val="auto"/>
        </w:rPr>
        <w:t>Carried</w:t>
      </w:r>
    </w:p>
    <w:p>
      <w:pPr>
        <w:jc w:val="center"/>
        <w:ind w:left="10480"/>
        <w:spacing w:after="0"/>
        <w:rPr>
          <w:sz w:val="20"/>
          <w:szCs w:val="20"/>
          <w:color w:val="auto"/>
        </w:rPr>
      </w:pPr>
      <w:r>
        <w:rPr>
          <w:rFonts w:ascii="Arial" w:cs="Arial" w:eastAsia="Arial" w:hAnsi="Arial"/>
          <w:sz w:val="16"/>
          <w:szCs w:val="16"/>
          <w:b w:val="1"/>
          <w:bCs w:val="1"/>
          <w:color w:val="auto"/>
        </w:rPr>
        <w:t>Forward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Class 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ordinary</w:t>
      </w:r>
    </w:p>
    <w:p>
      <w:pPr>
        <w:ind w:left="1160"/>
        <w:spacing w:after="0" w:line="185" w:lineRule="auto"/>
        <w:tabs>
          <w:tab w:leader="none" w:pos="1820" w:val="left"/>
          <w:tab w:leader="none" w:pos="296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0"/>
          <w:szCs w:val="20"/>
          <w:color w:val="auto"/>
          <w:vertAlign w:val="superscript"/>
        </w:rPr>
        <w:t>shares, par</w:t>
      </w:r>
      <w:r>
        <w:rPr>
          <w:sz w:val="20"/>
          <w:szCs w:val="20"/>
          <w:color w:val="auto"/>
        </w:rPr>
        <w:tab/>
      </w:r>
      <w:r>
        <w:rPr>
          <w:rFonts w:ascii="Arial" w:cs="Arial" w:eastAsia="Arial" w:hAnsi="Arial"/>
          <w:sz w:val="12"/>
          <w:szCs w:val="12"/>
          <w:color w:val="auto"/>
        </w:rPr>
        <w:t>457(o)</w:t>
      </w:r>
    </w:p>
    <w:p>
      <w:pPr>
        <w:ind w:left="1840"/>
        <w:spacing w:after="0" w:line="236" w:lineRule="auto"/>
        <w:rPr>
          <w:sz w:val="20"/>
          <w:szCs w:val="20"/>
          <w:color w:val="auto"/>
        </w:rPr>
      </w:pPr>
      <w:r>
        <w:rPr>
          <w:rFonts w:ascii="Arial" w:cs="Arial" w:eastAsia="Arial" w:hAnsi="Arial"/>
          <w:sz w:val="16"/>
          <w:szCs w:val="16"/>
          <w:color w:val="auto"/>
        </w:rPr>
        <w:t>value</w:t>
      </w:r>
    </w:p>
    <w:p>
      <w:pPr>
        <w:ind w:left="1840"/>
        <w:spacing w:after="0" w:line="236" w:lineRule="auto"/>
        <w:rPr>
          <w:sz w:val="20"/>
          <w:szCs w:val="20"/>
          <w:color w:val="auto"/>
        </w:rPr>
      </w:pPr>
      <w:r>
        <w:rPr>
          <w:rFonts w:ascii="Arial" w:cs="Arial" w:eastAsia="Arial" w:hAnsi="Arial"/>
          <w:sz w:val="16"/>
          <w:szCs w:val="16"/>
          <w:color w:val="auto"/>
        </w:rPr>
        <w:t>US$0.002</w:t>
      </w:r>
    </w:p>
    <w:p>
      <w:pPr>
        <w:ind w:left="1840"/>
        <w:spacing w:after="0"/>
        <w:rPr>
          <w:sz w:val="20"/>
          <w:szCs w:val="20"/>
          <w:color w:val="auto"/>
        </w:rPr>
      </w:pPr>
      <w:r>
        <w:rPr>
          <w:rFonts w:ascii="Arial" w:cs="Arial" w:eastAsia="Arial" w:hAnsi="Arial"/>
          <w:sz w:val="16"/>
          <w:szCs w:val="16"/>
          <w:color w:val="auto"/>
        </w:rPr>
        <w:t>per share</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4"/>
                <w:szCs w:val="14"/>
                <w:color w:val="auto"/>
              </w:rPr>
            </w:pPr>
          </w:p>
        </w:tc>
        <w:tc>
          <w:tcPr>
            <w:tcW w:w="92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Subscription</w:t>
            </w:r>
          </w:p>
        </w:tc>
        <w:tc>
          <w:tcPr>
            <w:tcW w:w="20" w:type="dxa"/>
            <w:vAlign w:val="bottom"/>
          </w:tcPr>
          <w:p>
            <w:pPr>
              <w:spacing w:after="0"/>
              <w:rPr>
                <w:sz w:val="14"/>
                <w:szCs w:val="14"/>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$ 41,430.00</w:t>
            </w:r>
          </w:p>
        </w:tc>
        <w:tc>
          <w:tcPr>
            <w:tcW w:w="0" w:type="dxa"/>
            <w:vAlign w:val="bottom"/>
          </w:tcPr>
          <w:p>
            <w:pPr>
              <w:spacing w:after="0"/>
              <w:rPr>
                <w:sz w:val="1"/>
                <w:szCs w:val="1"/>
                <w:color w:val="auto"/>
              </w:rPr>
            </w:pPr>
          </w:p>
        </w:tc>
      </w:tr>
      <w:tr>
        <w:trPr>
          <w:trHeight w:val="161"/>
        </w:trPr>
        <w:tc>
          <w:tcPr>
            <w:tcW w:w="76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rPr>
              <w:t>300,000,000.00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ind w:left="20"/>
              <w:spacing w:after="0" w:line="141"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shares, par</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103,747,628</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$ 2.155</w:t>
            </w:r>
          </w:p>
        </w:tc>
        <w:tc>
          <w:tcPr>
            <w:tcW w:w="20" w:type="dxa"/>
            <w:vAlign w:val="bottom"/>
          </w:tcPr>
          <w:p>
            <w:pPr>
              <w:spacing w:after="0"/>
              <w:rPr>
                <w:sz w:val="15"/>
                <w:szCs w:val="15"/>
                <w:color w:val="auto"/>
              </w:rPr>
            </w:pPr>
          </w:p>
        </w:tc>
        <w:tc>
          <w:tcPr>
            <w:tcW w:w="114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$ 30,875.86</w:t>
            </w: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5"/>
                <w:szCs w:val="15"/>
                <w:color w:val="auto"/>
              </w:rPr>
            </w:pPr>
          </w:p>
        </w:tc>
        <w:tc>
          <w:tcPr>
            <w:tcW w:w="8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rPr>
              <w:t>223,576,138.34</w:t>
            </w:r>
          </w:p>
        </w:tc>
        <w:tc>
          <w:tcPr>
            <w:tcW w:w="20" w:type="dxa"/>
            <w:vAlign w:val="bottom"/>
          </w:tcPr>
          <w:p>
            <w:pPr>
              <w:spacing w:after="0"/>
              <w:rPr>
                <w:sz w:val="15"/>
                <w:szCs w:val="15"/>
                <w:color w:val="auto"/>
              </w:rPr>
            </w:pPr>
          </w:p>
        </w:tc>
        <w:tc>
          <w:tcPr>
            <w:tcW w:w="8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US$0.002</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ind w:left="40"/>
        <w:spacing w:after="0"/>
        <w:rPr>
          <w:sz w:val="20"/>
          <w:szCs w:val="20"/>
          <w:color w:val="auto"/>
        </w:rPr>
      </w:pPr>
      <w:r>
        <w:rPr>
          <w:rFonts w:ascii="Arial" w:cs="Arial" w:eastAsia="Arial" w:hAnsi="Arial"/>
          <w:sz w:val="16"/>
          <w:szCs w:val="16"/>
          <w:color w:val="auto"/>
        </w:rPr>
        <w:t>Paid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Carry Forward Securities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Carry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Forward</w:t>
      </w:r>
    </w:p>
    <w:p>
      <w:pPr>
        <w:ind w:left="40"/>
        <w:spacing w:after="0"/>
        <w:rPr>
          <w:sz w:val="20"/>
          <w:szCs w:val="20"/>
          <w:color w:val="auto"/>
        </w:rPr>
      </w:pPr>
      <w:r>
        <w:rPr>
          <w:rFonts w:ascii="Arial" w:cs="Arial" w:eastAsia="Arial" w:hAnsi="Arial"/>
          <w:sz w:val="16"/>
          <w:szCs w:val="16"/>
          <w:color w:val="auto"/>
        </w:rPr>
        <w:t>Securities</w:t>
      </w:r>
    </w:p>
    <w:p>
      <w:pPr>
        <w:spacing w:after="0" w:line="18" w:lineRule="exact"/>
        <w:rPr>
          <w:sz w:val="20"/>
          <w:szCs w:val="20"/>
          <w:color w:val="auto"/>
        </w:rPr>
      </w:pPr>
    </w:p>
    <w:tbl>
      <w:tblPr>
        <w:tblLayout w:type="fixed"/>
        <w:tblInd w:w="2660" w:type="dxa"/>
        <w:tblCellMar>
          <w:top w:w="0" w:type="dxa"/>
          <w:left w:w="0" w:type="dxa"/>
          <w:bottom w:w="0" w:type="dxa"/>
          <w:right w:w="0" w:type="dxa"/>
        </w:tblCellMar>
      </w:tblPr>
      <w:tr>
        <w:trPr>
          <w:trHeight w:val="184"/>
        </w:trPr>
        <w:tc>
          <w:tcPr>
            <w:tcW w:w="2340" w:type="dxa"/>
            <w:vAlign w:val="bottom"/>
          </w:tcPr>
          <w:p>
            <w:pPr>
              <w:jc w:val="right"/>
              <w:ind w:right="340"/>
              <w:spacing w:after="0"/>
              <w:rPr>
                <w:sz w:val="20"/>
                <w:szCs w:val="20"/>
                <w:color w:val="auto"/>
              </w:rPr>
            </w:pPr>
            <w:r>
              <w:rPr>
                <w:rFonts w:ascii="Arial" w:cs="Arial" w:eastAsia="Arial" w:hAnsi="Arial"/>
                <w:sz w:val="16"/>
                <w:szCs w:val="16"/>
                <w:color w:val="auto"/>
              </w:rPr>
              <w:t>Total Offering Amounts:</w:t>
            </w:r>
          </w:p>
        </w:tc>
        <w:tc>
          <w:tcPr>
            <w:tcW w:w="20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$ 72,305.86</w:t>
            </w:r>
          </w:p>
        </w:tc>
      </w:tr>
      <w:tr>
        <w:trPr>
          <w:trHeight w:val="213"/>
        </w:trPr>
        <w:tc>
          <w:tcPr>
            <w:tcW w:w="2340" w:type="dxa"/>
            <w:vAlign w:val="bottom"/>
          </w:tcPr>
          <w:p>
            <w:pPr>
              <w:spacing w:after="0"/>
              <w:rPr>
                <w:sz w:val="18"/>
                <w:szCs w:val="18"/>
                <w:color w:val="auto"/>
              </w:rPr>
            </w:pPr>
          </w:p>
        </w:tc>
        <w:tc>
          <w:tcPr>
            <w:tcW w:w="2000" w:type="dxa"/>
            <w:vAlign w:val="bottom"/>
          </w:tcPr>
          <w:p>
            <w:pPr>
              <w:jc w:val="right"/>
              <w:ind w:right="380"/>
              <w:spacing w:after="0"/>
              <w:rPr>
                <w:sz w:val="20"/>
                <w:szCs w:val="20"/>
                <w:color w:val="auto"/>
              </w:rPr>
            </w:pPr>
            <w:r>
              <w:rPr>
                <w:rFonts w:ascii="Arial" w:cs="Arial" w:eastAsia="Arial" w:hAnsi="Arial"/>
                <w:sz w:val="16"/>
                <w:szCs w:val="16"/>
                <w:color w:val="auto"/>
              </w:rPr>
              <w:t>523,576,138.34</w:t>
            </w:r>
          </w:p>
        </w:tc>
        <w:tc>
          <w:tcPr>
            <w:tcW w:w="1320" w:type="dxa"/>
            <w:vAlign w:val="bottom"/>
          </w:tcPr>
          <w:p>
            <w:pPr>
              <w:spacing w:after="0"/>
              <w:rPr>
                <w:sz w:val="18"/>
                <w:szCs w:val="18"/>
                <w:color w:val="auto"/>
              </w:rPr>
            </w:pPr>
          </w:p>
        </w:tc>
      </w:tr>
      <w:tr>
        <w:trPr>
          <w:trHeight w:val="221"/>
        </w:trPr>
        <w:tc>
          <w:tcPr>
            <w:tcW w:w="2340" w:type="dxa"/>
            <w:vAlign w:val="bottom"/>
          </w:tcPr>
          <w:p>
            <w:pPr>
              <w:jc w:val="right"/>
              <w:ind w:right="340"/>
              <w:spacing w:after="0"/>
              <w:rPr>
                <w:sz w:val="20"/>
                <w:szCs w:val="20"/>
                <w:color w:val="auto"/>
              </w:rPr>
            </w:pPr>
            <w:r>
              <w:rPr>
                <w:rFonts w:ascii="Arial" w:cs="Arial" w:eastAsia="Arial" w:hAnsi="Arial"/>
                <w:sz w:val="16"/>
                <w:szCs w:val="16"/>
                <w:color w:val="auto"/>
                <w:w w:val="97"/>
              </w:rPr>
              <w:t>Total Fees Previously Paid:</w:t>
            </w:r>
          </w:p>
        </w:tc>
        <w:tc>
          <w:tcPr>
            <w:tcW w:w="20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$ 0.00</w:t>
            </w:r>
          </w:p>
        </w:tc>
      </w:tr>
      <w:tr>
        <w:trPr>
          <w:trHeight w:val="221"/>
        </w:trPr>
        <w:tc>
          <w:tcPr>
            <w:tcW w:w="2340" w:type="dxa"/>
            <w:vAlign w:val="bottom"/>
          </w:tcPr>
          <w:p>
            <w:pPr>
              <w:jc w:val="right"/>
              <w:ind w:right="340"/>
              <w:spacing w:after="0"/>
              <w:rPr>
                <w:sz w:val="20"/>
                <w:szCs w:val="20"/>
                <w:color w:val="auto"/>
              </w:rPr>
            </w:pPr>
            <w:r>
              <w:rPr>
                <w:rFonts w:ascii="Arial" w:cs="Arial" w:eastAsia="Arial" w:hAnsi="Arial"/>
                <w:sz w:val="16"/>
                <w:szCs w:val="16"/>
                <w:color w:val="auto"/>
              </w:rPr>
              <w:t>Total Fee Offsets:</w:t>
            </w:r>
          </w:p>
        </w:tc>
        <w:tc>
          <w:tcPr>
            <w:tcW w:w="20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$ 0.00</w:t>
            </w:r>
          </w:p>
        </w:tc>
      </w:tr>
      <w:tr>
        <w:trPr>
          <w:trHeight w:val="221"/>
        </w:trPr>
        <w:tc>
          <w:tcPr>
            <w:tcW w:w="2340" w:type="dxa"/>
            <w:vAlign w:val="bottom"/>
          </w:tcPr>
          <w:p>
            <w:pPr>
              <w:jc w:val="right"/>
              <w:ind w:right="340"/>
              <w:spacing w:after="0"/>
              <w:rPr>
                <w:sz w:val="20"/>
                <w:szCs w:val="20"/>
                <w:color w:val="auto"/>
              </w:rPr>
            </w:pPr>
            <w:r>
              <w:rPr>
                <w:rFonts w:ascii="Arial" w:cs="Arial" w:eastAsia="Arial" w:hAnsi="Arial"/>
                <w:sz w:val="16"/>
                <w:szCs w:val="16"/>
                <w:color w:val="auto"/>
              </w:rPr>
              <w:t>Net Fee Due:</w:t>
            </w:r>
          </w:p>
        </w:tc>
        <w:tc>
          <w:tcPr>
            <w:tcW w:w="20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$ 72,305.86</w:t>
            </w: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5" w:lineRule="exact"/>
        <w:rPr>
          <w:sz w:val="20"/>
          <w:szCs w:val="20"/>
          <w:color w:val="auto"/>
        </w:rPr>
      </w:pPr>
    </w:p>
    <w:p>
      <w:pPr>
        <w:ind w:left="200" w:right="540"/>
        <w:spacing w:after="0" w:line="274" w:lineRule="auto"/>
        <w:rPr>
          <w:sz w:val="20"/>
          <w:szCs w:val="20"/>
          <w:color w:val="auto"/>
        </w:rPr>
      </w:pPr>
      <w:r>
        <w:rPr>
          <w:rFonts w:ascii="Arial" w:cs="Arial" w:eastAsia="Arial" w:hAnsi="Arial"/>
          <w:sz w:val="16"/>
          <w:szCs w:val="16"/>
          <w:color w:val="auto"/>
        </w:rPr>
        <w:t>Pursuant to Rule 416 of the Securities Act of 1933, as amended (the "Securities Act"), this registration statement includes an indeterminate number of additional shares as may be issuable as a result of stock splits, stock dividends, or similar transactions which occur during this continuous offering.</w:t>
      </w:r>
    </w:p>
    <w:p>
      <w:pPr>
        <w:spacing w:after="0" w:line="122" w:lineRule="exact"/>
        <w:rPr>
          <w:sz w:val="20"/>
          <w:szCs w:val="20"/>
          <w:color w:val="auto"/>
        </w:rPr>
      </w:pPr>
    </w:p>
    <w:p>
      <w:pPr>
        <w:ind w:left="200" w:right="300"/>
        <w:spacing w:after="0" w:line="243" w:lineRule="auto"/>
        <w:rPr>
          <w:sz w:val="20"/>
          <w:szCs w:val="20"/>
          <w:color w:val="auto"/>
        </w:rPr>
      </w:pPr>
      <w:r>
        <w:rPr>
          <w:rFonts w:ascii="Arial" w:cs="Arial" w:eastAsia="Arial" w:hAnsi="Arial"/>
          <w:sz w:val="16"/>
          <w:szCs w:val="16"/>
          <w:color w:val="auto"/>
        </w:rPr>
        <w:t>There are being registered under this registration statement such indeterminate number of Class A ordinary shares, preferred shares, warrants, subscription rights and units as may be offered by the registrant from time to time, which collectively shall have an aggregate offering price not to exceedUS$300,000,000. The securities registered hereunder also include such indeterminate number of Class A ordinary shares as may be issued upon conversion, exchange or exercise of securities registered hereunder to the extent such securities are, by their terms, exercisable for, Class A ordinary shares. The registrant has estimated the proposed maximum aggregate offering price solely for the purpose of calculating the registration fee pursuant to Rule 457(o) under the Securities Act.</w:t>
      </w:r>
    </w:p>
    <w:p>
      <w:pPr>
        <w:spacing w:after="0" w:line="148" w:lineRule="exact"/>
        <w:rPr>
          <w:sz w:val="20"/>
          <w:szCs w:val="20"/>
          <w:color w:val="auto"/>
        </w:rPr>
      </w:pPr>
    </w:p>
    <w:p>
      <w:pPr>
        <w:ind w:left="200" w:right="540"/>
        <w:spacing w:after="0" w:line="274" w:lineRule="auto"/>
        <w:rPr>
          <w:sz w:val="20"/>
          <w:szCs w:val="20"/>
          <w:color w:val="auto"/>
        </w:rPr>
      </w:pPr>
      <w:r>
        <w:rPr>
          <w:rFonts w:ascii="Arial" w:cs="Arial" w:eastAsia="Arial" w:hAnsi="Arial"/>
          <w:sz w:val="16"/>
          <w:szCs w:val="16"/>
          <w:color w:val="auto"/>
        </w:rPr>
        <w:t>The registration fee has been calculated pursuant to Rule 457(o) under the Securities Act on the basis of the maximum aggregate offering price of the securities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715454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5" w:lineRule="exact"/>
        <w:rPr>
          <w:sz w:val="20"/>
          <w:szCs w:val="20"/>
          <w:color w:val="auto"/>
        </w:rPr>
      </w:pPr>
    </w:p>
    <w:p>
      <w:pPr>
        <w:ind w:left="200" w:right="200"/>
        <w:spacing w:after="0" w:line="254" w:lineRule="auto"/>
        <w:rPr>
          <w:sz w:val="20"/>
          <w:szCs w:val="20"/>
          <w:color w:val="auto"/>
        </w:rPr>
      </w:pPr>
      <w:r>
        <w:rPr>
          <w:rFonts w:ascii="Arial" w:cs="Arial" w:eastAsia="Arial" w:hAnsi="Arial"/>
          <w:sz w:val="16"/>
          <w:szCs w:val="16"/>
          <w:color w:val="auto"/>
        </w:rPr>
        <w:t>The proposed maximum offering price per unit is estimated solely for the purpose of calculating the registration fee for this offering pursuant to Rule 457(c) under the Securities Act using the average of the high and low prices for the registrant's Class A ordinary shares as quoted on the Nasdaq Global Select Market on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715454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ind w:left="40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 or</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with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0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9"/>
                <w:szCs w:val="9"/>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0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-952500</wp:posOffset>
            </wp:positionV>
            <wp:extent cx="12700" cy="1157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12700" cy="11576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-952500</wp:posOffset>
            </wp:positionV>
            <wp:extent cx="12700" cy="1157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12700" cy="115760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30480</wp:posOffset>
            </wp:positionV>
            <wp:extent cx="711644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16445" cy="51435"/>
                    </a:xfrm>
                    <a:prstGeom prst="rect">
                      <a:avLst/>
                    </a:prstGeom>
                    <a:noFill/>
                  </pic:spPr>
                </pic:pic>
              </a:graphicData>
            </a:graphic>
          </wp:anchor>
        </w:drawing>
      </w:r>
    </w:p>
    <w:p>
      <w:pPr>
        <w:sectPr>
          <w:pgSz w:w="11900" w:h="16838" w:orient="portrait"/>
          <w:cols w:equalWidth="0" w:num="1">
            <w:col w:w="11360"/>
          </w:cols>
          <w:pgMar w:left="300" w:top="140" w:right="239" w:bottom="0" w:gutter="0" w:footer="0" w:header="0"/>
        </w:sectPr>
      </w:pPr>
    </w:p>
    <w:bookmarkStart w:id="99" w:name="page100"/>
    <w:bookmarkEnd w:id="99"/>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7173595" cy="1163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3595" cy="11639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-109220</wp:posOffset>
            </wp:positionV>
            <wp:extent cx="7116445" cy="2425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16445" cy="2425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20" w:type="dxa"/>
            <w:vAlign w:val="bottom"/>
            <w:gridSpan w:val="3"/>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02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1020" w:type="dxa"/>
            <w:vAlign w:val="bottom"/>
            <w:gridSpan w:val="3"/>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560" w:type="dxa"/>
            <w:vAlign w:val="bottom"/>
            <w:shd w:val="clear" w:color="auto" w:fill="E7E7E2"/>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02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6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80" w:type="dxa"/>
            <w:vAlign w:val="bottom"/>
            <w:gridSpan w:val="3"/>
            <w:vMerge w:val="restart"/>
            <w:shd w:val="clear" w:color="auto" w:fill="9ADAF6"/>
          </w:tcPr>
          <w:p>
            <w:pPr>
              <w:ind w:left="380"/>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80" w:type="dxa"/>
            <w:vAlign w:val="bottom"/>
            <w:gridSpan w:val="3"/>
            <w:vMerge w:val="restart"/>
            <w:shd w:val="clear" w:color="auto" w:fill="9ADAF6"/>
          </w:tcPr>
          <w:p>
            <w:pPr>
              <w:ind w:left="140"/>
              <w:spacing w:after="0" w:line="181"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restart"/>
            <w:shd w:val="clear" w:color="auto" w:fill="9ADAF6"/>
          </w:tcPr>
          <w:p>
            <w:pPr>
              <w:ind w:left="260"/>
              <w:spacing w:after="0" w:line="181"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gridSpan w:val="5"/>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80" w:type="dxa"/>
            <w:vAlign w:val="bottom"/>
            <w:gridSpan w:val="3"/>
            <w:vMerge w:val="restart"/>
            <w:shd w:val="clear" w:color="auto" w:fill="9ADAF6"/>
          </w:tcPr>
          <w:p>
            <w:pPr>
              <w:ind w:left="360"/>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80" w:type="dxa"/>
            <w:vAlign w:val="bottom"/>
            <w:gridSpan w:val="3"/>
            <w:vMerge w:val="restart"/>
            <w:shd w:val="clear" w:color="auto" w:fill="9ADAF6"/>
          </w:tcPr>
          <w:p>
            <w:pPr>
              <w:ind w:left="34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20" w:type="dxa"/>
            <w:vAlign w:val="bottom"/>
            <w:gridSpan w:val="3"/>
            <w:vMerge w:val="restart"/>
            <w:shd w:val="clear" w:color="auto" w:fill="9ADAF6"/>
          </w:tcPr>
          <w:p>
            <w:pPr>
              <w:jc w:val="center"/>
              <w:ind w:righ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lowerRoman"/>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1)"/>
      <w:numFmt w:val="lowerRoman"/>
      <w:start w:val="2"/>
    </w:lvl>
  </w:abstractNum>
  <w:abstractNum w:abstractNumId="12">
    <w:nsid w:val="579BE4F1"/>
    <w:multiLevelType w:val="hybridMultilevel"/>
    <w:lvl w:ilvl="0">
      <w:lvlJc w:val="left"/>
      <w:lvlText w:val="(%1)"/>
      <w:numFmt w:val="lowerLetter"/>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lowerLetter"/>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661E3F1E"/>
    <w:multiLevelType w:val="hybridMultilevel"/>
    <w:lvl w:ilvl="0">
      <w:lvlJc w:val="left"/>
      <w:lvlText w:val="(%1)"/>
      <w:numFmt w:val="lowerRoman"/>
      <w:start w:val="3"/>
    </w:lvl>
    <w:lvl w:ilvl="1">
      <w:lvlJc w:val="left"/>
      <w:lvlText w:val="(%2)"/>
      <w:numFmt w:val="lowerRoman"/>
      <w:start w:val="4"/>
    </w:lvl>
  </w:abstractNum>
  <w:abstractNum w:abstractNumId="33">
    <w:nsid w:val="5DC79EA8"/>
    <w:multiLevelType w:val="hybridMultilevel"/>
    <w:lvl w:ilvl="0">
      <w:lvlJc w:val="left"/>
      <w:lvlText w:val="(%1)"/>
      <w:numFmt w:val="decimal"/>
      <w:start w:val="2"/>
    </w:lvl>
    <w:lvl w:ilvl="1">
      <w:lvlJc w:val="left"/>
      <w:lvlText w:val="(%2)"/>
      <w:numFmt w:val="lowerRoman"/>
      <w:start w:val="1"/>
    </w:lvl>
  </w:abstractNum>
  <w:abstractNum w:abstractNumId="34">
    <w:nsid w:val="540A471C"/>
    <w:multiLevelType w:val="hybridMultilevel"/>
    <w:lvl w:ilvl="0">
      <w:lvlJc w:val="left"/>
      <w:lvlText w:val="%1"/>
      <w:numFmt w:val="lowerLetter"/>
      <w:start w:val="1"/>
    </w:lvl>
    <w:lvl w:ilvl="1">
      <w:lvlJc w:val="left"/>
      <w:lvlText w:val="(%2)"/>
      <w:numFmt w:val="lowerRoman"/>
      <w:start w:val="1"/>
    </w:lvl>
  </w:abstractNum>
  <w:abstractNum w:abstractNumId="35">
    <w:nsid w:val="7BD3EE7B"/>
    <w:multiLevelType w:val="hybridMultilevel"/>
    <w:lvl w:ilvl="0">
      <w:lvlJc w:val="left"/>
      <w:lvlText w:val="(%1)"/>
      <w:numFmt w:val="lowerLetter"/>
      <w:start w:val="2"/>
    </w:lvl>
    <w:lvl w:ilvl="1">
      <w:lvlJc w:val="left"/>
      <w:lvlText w:val="%2"/>
      <w:numFmt w:val="lowerRoman"/>
      <w:start w:val="1"/>
    </w:lvl>
  </w:abstractNum>
  <w:abstractNum w:abstractNumId="36">
    <w:nsid w:val="51D9C564"/>
    <w:multiLevelType w:val="hybridMultilevel"/>
    <w:lvl w:ilvl="0">
      <w:lvlJc w:val="left"/>
      <w:lvlText w:val="%1"/>
      <w:numFmt w:val="decimal"/>
      <w:start w:val="107"/>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1."/>
      <w:numFmt w:val="decimal"/>
      <w:start w:val="4"/>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decimal"/>
      <w:start w:val="2"/>
    </w:lvl>
    <w:lvl w:ilvl="1">
      <w:lvlJc w:val="left"/>
      <w:lvlText w:val="(%2)"/>
      <w:numFmt w:val="lowerLetter"/>
      <w:start w:val="1"/>
    </w:lvl>
  </w:abstractNum>
  <w:abstractNum w:abstractNumId="43">
    <w:nsid w:val="1A32234B"/>
    <w:multiLevelType w:val="hybridMultilevel"/>
    <w:lvl w:ilvl="0">
      <w:lvlJc w:val="left"/>
      <w:lvlText w:val="%1."/>
      <w:numFmt w:val="decimal"/>
      <w:start w:val="4"/>
    </w:lvl>
  </w:abstractNum>
  <w:abstractNum w:abstractNumId="44">
    <w:nsid w:val="3B0FD379"/>
    <w:multiLevelType w:val="hybridMultilevel"/>
    <w:lvl w:ilvl="0">
      <w:lvlJc w:val="left"/>
      <w:lvlText w:val="%1."/>
      <w:numFmt w:val="decimal"/>
      <w:start w:val="6"/>
    </w:lvl>
  </w:abstractNum>
  <w:abstractNum w:abstractNumId="45">
    <w:nsid w:val="68EB2F63"/>
    <w:multiLevelType w:val="hybridMultilevel"/>
    <w:lvl w:ilvl="0">
      <w:lvlJc w:val="left"/>
      <w:lvlText w:val="(%1)"/>
      <w:numFmt w:val="lowerLetter"/>
      <w:start w:val="5"/>
    </w:lvl>
    <w:lvl w:ilvl="1">
      <w:lvlJc w:val="left"/>
      <w:lvlText w:val="(%2)"/>
      <w:numFmt w:val="lowerRoman"/>
      <w:start w:val="1"/>
    </w:lvl>
  </w:abstractNum>
  <w:abstractNum w:abstractNumId="46">
    <w:nsid w:val="4962813B"/>
    <w:multiLevelType w:val="hybridMultilevel"/>
    <w:lvl w:ilvl="0">
      <w:lvlJc w:val="left"/>
      <w:lvlText w:val="(%1)"/>
      <w:numFmt w:val="lowerRoman"/>
      <w:start w:val="7"/>
    </w:lvl>
  </w:abstractNum>
  <w:abstractNum w:abstractNumId="47">
    <w:nsid w:val="60B6DF70"/>
    <w:multiLevelType w:val="hybridMultilevel"/>
    <w:lvl w:ilvl="0">
      <w:lvlJc w:val="left"/>
      <w:lvlText w:val="%1."/>
      <w:numFmt w:val="decimal"/>
      <w:start w:val="7"/>
    </w:lvl>
  </w:abstractNum>
  <w:abstractNum w:abstractNumId="48">
    <w:nsid w:val="6A5EE64"/>
    <w:multiLevelType w:val="hybridMultilevel"/>
    <w:lvl w:ilvl="0">
      <w:lvlJc w:val="left"/>
      <w:lvlText w:val="%1."/>
      <w:numFmt w:val="decimal"/>
      <w:start w:val="8"/>
    </w:lvl>
  </w:abstractNum>
  <w:abstractNum w:abstractNumId="49">
    <w:nsid w:val="14330624"/>
    <w:multiLevelType w:val="hybridMultilevel"/>
    <w:lvl w:ilvl="0">
      <w:lvlJc w:val="left"/>
      <w:lvlText w:val="%1."/>
      <w:numFmt w:val="decimal"/>
      <w:start w:val="13"/>
    </w:lvl>
  </w:abstractNum>
  <w:abstractNum w:abstractNumId="50">
    <w:nsid w:val="7FFFCA1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1">
    <w:nsid w:val="1A27709E"/>
    <w:multiLevelType w:val="hybridMultilevel"/>
    <w:lvl w:ilvl="0">
      <w:lvlJc w:val="left"/>
      <w:lvlText w:val="%1."/>
      <w:numFmt w:val="decimal"/>
      <w:start w:val="18"/>
    </w:lvl>
  </w:abstractNum>
  <w:abstractNum w:abstractNumId="52">
    <w:nsid w:val="71EA1109"/>
    <w:multiLevelType w:val="hybridMultilevel"/>
    <w:lvl w:ilvl="0">
      <w:lvlJc w:val="left"/>
      <w:lvlText w:val="%1."/>
      <w:numFmt w:val="decimal"/>
      <w:start w:val="19"/>
    </w:lvl>
  </w:abstractNum>
  <w:abstractNum w:abstractNumId="53">
    <w:nsid w:val="100F59DC"/>
    <w:multiLevelType w:val="hybridMultilevel"/>
    <w:lvl w:ilvl="0">
      <w:lvlJc w:val="left"/>
      <w:lvlText w:val="%1."/>
      <w:numFmt w:val="decimal"/>
      <w:start w:val="21"/>
    </w:lvl>
  </w:abstractNum>
  <w:abstractNum w:abstractNumId="54">
    <w:nsid w:val="7FB7E0AA"/>
    <w:multiLevelType w:val="hybridMultilevel"/>
    <w:lvl w:ilvl="0">
      <w:lvlJc w:val="left"/>
      <w:lvlText w:val="%1."/>
      <w:numFmt w:val="decimal"/>
      <w:start w:val="22"/>
    </w:lvl>
  </w:abstractNum>
  <w:abstractNum w:abstractNumId="55">
    <w:nsid w:val="6EB5BD4"/>
    <w:multiLevelType w:val="hybridMultilevel"/>
    <w:lvl w:ilvl="0">
      <w:lvlJc w:val="left"/>
      <w:lvlText w:val="%1."/>
      <w:numFmt w:val="decimal"/>
      <w:start w:val="23"/>
    </w:lvl>
  </w:abstractNum>
  <w:abstractNum w:abstractNumId="56">
    <w:nsid w:val="6F6DD9AC"/>
    <w:multiLevelType w:val="hybridMultilevel"/>
    <w:lvl w:ilvl="0">
      <w:lvlJc w:val="left"/>
      <w:lvlText w:val="%1."/>
      <w:numFmt w:val="decimal"/>
      <w:start w:val="25"/>
    </w:lvl>
  </w:abstractNum>
  <w:abstractNum w:abstractNumId="57">
    <w:nsid w:val="94211F2"/>
    <w:multiLevelType w:val="hybridMultilevel"/>
    <w:lvl w:ilvl="0">
      <w:lvlJc w:val="left"/>
      <w:lvlText w:val="%1."/>
      <w:numFmt w:val="decimal"/>
      <w:start w:val="27"/>
    </w:lvl>
  </w:abstractNum>
  <w:abstractNum w:abstractNumId="58">
    <w:nsid w:val="885E1B"/>
    <w:multiLevelType w:val="hybridMultilevel"/>
    <w:lvl w:ilvl="0">
      <w:lvlJc w:val="left"/>
      <w:lvlText w:val="%1."/>
      <w:numFmt w:val="decimal"/>
      <w:start w:val="33"/>
    </w:lvl>
  </w:abstractNum>
  <w:abstractNum w:abstractNumId="59">
    <w:nsid w:val="76272110"/>
    <w:multiLevelType w:val="hybridMultilevel"/>
    <w:lvl w:ilvl="0">
      <w:lvlJc w:val="left"/>
      <w:lvlText w:val="%1."/>
      <w:numFmt w:val="decimal"/>
      <w:start w:val="40"/>
    </w:lvl>
  </w:abstractNum>
  <w:abstractNum w:abstractNumId="60">
    <w:nsid w:val="4C04A8AF"/>
    <w:multiLevelType w:val="hybridMultilevel"/>
    <w:lvl w:ilvl="0">
      <w:lvlJc w:val="left"/>
      <w:lvlText w:val="%1."/>
      <w:numFmt w:val="decimal"/>
      <w:start w:val="41"/>
    </w:lvl>
  </w:abstractNum>
  <w:abstractNum w:abstractNumId="61">
    <w:nsid w:val="1716703B"/>
    <w:multiLevelType w:val="hybridMultilevel"/>
    <w:lvl w:ilvl="0">
      <w:lvlJc w:val="left"/>
      <w:lvlText w:val="%1."/>
      <w:numFmt w:val="decimal"/>
      <w:start w:val="44"/>
    </w:lvl>
    <w:lvl w:ilvl="1">
      <w:lvlJc w:val="left"/>
      <w:lvlText w:val="(%2)"/>
      <w:numFmt w:val="lowerLetter"/>
      <w:start w:val="1"/>
    </w:lvl>
  </w:abstractNum>
  <w:abstractNum w:abstractNumId="62">
    <w:nsid w:val="14E17E33"/>
    <w:multiLevelType w:val="hybridMultilevel"/>
    <w:lvl w:ilvl="0">
      <w:lvlJc w:val="left"/>
      <w:lvlText w:val="%1."/>
      <w:numFmt w:val="decimal"/>
      <w:start w:val="47"/>
    </w:lvl>
  </w:abstractNum>
  <w:abstractNum w:abstractNumId="63">
    <w:nsid w:val="3222E7CD"/>
    <w:multiLevelType w:val="hybridMultilevel"/>
    <w:lvl w:ilvl="0">
      <w:lvlJc w:val="left"/>
      <w:lvlText w:val="%1."/>
      <w:numFmt w:val="decimal"/>
      <w:start w:val="48"/>
    </w:lvl>
  </w:abstractNum>
  <w:abstractNum w:abstractNumId="64">
    <w:nsid w:val="74DE0EE3"/>
    <w:multiLevelType w:val="hybridMultilevel"/>
    <w:lvl w:ilvl="0">
      <w:lvlJc w:val="left"/>
      <w:lvlText w:val="%1."/>
      <w:numFmt w:val="decimal"/>
      <w:start w:val="51"/>
    </w:lvl>
    <w:lvl w:ilvl="1">
      <w:lvlJc w:val="left"/>
      <w:lvlText w:val="(%2)"/>
      <w:numFmt w:val="lowerLetter"/>
      <w:start w:val="2"/>
    </w:lvl>
  </w:abstractNum>
  <w:abstractNum w:abstractNumId="65">
    <w:nsid w:val="68EBC550"/>
    <w:multiLevelType w:val="hybridMultilevel"/>
    <w:lvl w:ilvl="0">
      <w:lvlJc w:val="left"/>
      <w:lvlText w:val="%1"/>
      <w:numFmt w:val="decimal"/>
      <w:start w:val="1"/>
    </w:lvl>
    <w:lvl w:ilvl="1">
      <w:lvlJc w:val="left"/>
      <w:lvlText w:val="(%2)"/>
      <w:numFmt w:val="lowerLetter"/>
      <w:start w:val="2"/>
    </w:lvl>
  </w:abstractNum>
  <w:abstractNum w:abstractNumId="66">
    <w:nsid w:val="2DF6D648"/>
    <w:multiLevelType w:val="hybridMultilevel"/>
    <w:lvl w:ilvl="0">
      <w:lvlJc w:val="left"/>
      <w:lvlText w:val="%1."/>
      <w:numFmt w:val="decimal"/>
      <w:start w:val="54"/>
    </w:lvl>
    <w:lvl w:ilvl="1">
      <w:lvlJc w:val="left"/>
      <w:lvlText w:val="(%2)"/>
      <w:numFmt w:val="lowerLetter"/>
      <w:start w:val="1"/>
    </w:lvl>
  </w:abstractNum>
  <w:abstractNum w:abstractNumId="67">
    <w:nsid w:val="46B7D447"/>
    <w:multiLevelType w:val="hybridMultilevel"/>
    <w:lvl w:ilvl="0">
      <w:lvlJc w:val="left"/>
      <w:lvlText w:val="%1"/>
      <w:numFmt w:val="decimal"/>
      <w:start w:val="55"/>
    </w:lvl>
  </w:abstractNum>
  <w:abstractNum w:abstractNumId="68">
    <w:nsid w:val="4A2AC315"/>
    <w:multiLevelType w:val="hybridMultilevel"/>
    <w:lvl w:ilvl="0">
      <w:lvlJc w:val="left"/>
      <w:lvlText w:val="%1"/>
      <w:numFmt w:val="decimal"/>
      <w:start w:val="57"/>
    </w:lvl>
  </w:abstractNum>
  <w:abstractNum w:abstractNumId="69">
    <w:nsid w:val="39EE015C"/>
    <w:multiLevelType w:val="hybridMultilevel"/>
    <w:lvl w:ilvl="0">
      <w:lvlJc w:val="left"/>
      <w:lvlText w:val="%1"/>
      <w:numFmt w:val="decimal"/>
      <w:start w:val="64"/>
    </w:lvl>
    <w:lvl w:ilvl="1">
      <w:lvlJc w:val="left"/>
      <w:lvlText w:val="(%2)"/>
      <w:numFmt w:val="lowerLetter"/>
      <w:start w:val="1"/>
    </w:lvl>
  </w:abstractNum>
  <w:abstractNum w:abstractNumId="70">
    <w:nsid w:val="57FC4FBB"/>
    <w:multiLevelType w:val="hybridMultilevel"/>
    <w:lvl w:ilvl="0">
      <w:lvlJc w:val="left"/>
      <w:lvlText w:val="%1"/>
      <w:numFmt w:val="decimal"/>
      <w:start w:val="72"/>
    </w:lvl>
    <w:lvl w:ilvl="1">
      <w:lvlJc w:val="left"/>
      <w:lvlText w:val="(%2)"/>
      <w:numFmt w:val="lowerLetter"/>
      <w:start w:val="1"/>
    </w:lvl>
  </w:abstractNum>
  <w:abstractNum w:abstractNumId="71">
    <w:nsid w:val="CC1016F"/>
    <w:multiLevelType w:val="hybridMultilevel"/>
    <w:lvl w:ilvl="0">
      <w:lvlJc w:val="left"/>
      <w:lvlText w:val="%1"/>
      <w:numFmt w:val="decimal"/>
      <w:start w:val="74"/>
    </w:lvl>
  </w:abstractNum>
  <w:abstractNum w:abstractNumId="72">
    <w:nsid w:val="43F18422"/>
    <w:multiLevelType w:val="hybridMultilevel"/>
    <w:lvl w:ilvl="0">
      <w:lvlJc w:val="left"/>
      <w:lvlText w:val="%1"/>
      <w:numFmt w:val="decimal"/>
      <w:start w:val="76"/>
    </w:lvl>
  </w:abstractNum>
  <w:abstractNum w:abstractNumId="73">
    <w:nsid w:val="60EF0119"/>
    <w:multiLevelType w:val="hybridMultilevel"/>
    <w:lvl w:ilvl="0">
      <w:lvlJc w:val="left"/>
      <w:lvlText w:val="%1"/>
      <w:numFmt w:val="decimal"/>
      <w:start w:val="77"/>
    </w:lvl>
  </w:abstractNum>
  <w:abstractNum w:abstractNumId="74">
    <w:nsid w:val="26F324BA"/>
    <w:multiLevelType w:val="hybridMultilevel"/>
    <w:lvl w:ilvl="0">
      <w:lvlJc w:val="left"/>
      <w:lvlText w:val="%1"/>
      <w:numFmt w:val="decimal"/>
      <w:start w:val="78"/>
    </w:lvl>
    <w:lvl w:ilvl="1">
      <w:lvlJc w:val="left"/>
      <w:lvlText w:val="(%2)"/>
      <w:numFmt w:val="upperLetter"/>
      <w:start w:val="2"/>
    </w:lvl>
  </w:abstractNum>
  <w:abstractNum w:abstractNumId="75">
    <w:nsid w:val="7F01579B"/>
    <w:multiLevelType w:val="hybridMultilevel"/>
    <w:lvl w:ilvl="0">
      <w:lvlJc w:val="left"/>
      <w:lvlText w:val="%1"/>
      <w:numFmt w:val="decimal"/>
      <w:start w:val="80"/>
    </w:lvl>
  </w:abstractNum>
  <w:abstractNum w:abstractNumId="76">
    <w:nsid w:val="49DA307D"/>
    <w:multiLevelType w:val="hybridMultilevel"/>
    <w:lvl w:ilvl="0">
      <w:lvlJc w:val="left"/>
      <w:lvlText w:val="%1"/>
      <w:numFmt w:val="decimal"/>
      <w:start w:val="83"/>
    </w:lvl>
  </w:abstractNum>
  <w:abstractNum w:abstractNumId="77">
    <w:nsid w:val="7055A5F5"/>
    <w:multiLevelType w:val="hybridMultilevel"/>
    <w:lvl w:ilvl="0">
      <w:lvlJc w:val="left"/>
      <w:lvlText w:val="%1"/>
      <w:numFmt w:val="decimal"/>
      <w:start w:val="85"/>
    </w:lvl>
  </w:abstractNum>
  <w:abstractNum w:abstractNumId="78">
    <w:nsid w:val="5FB8370B"/>
    <w:multiLevelType w:val="hybridMultilevel"/>
    <w:lvl w:ilvl="0">
      <w:lvlJc w:val="left"/>
      <w:lvlText w:val="%1"/>
      <w:numFmt w:val="decimal"/>
      <w:start w:val="87"/>
    </w:lvl>
  </w:abstractNum>
  <w:abstractNum w:abstractNumId="79">
    <w:nsid w:val="50801EE1"/>
    <w:multiLevelType w:val="hybridMultilevel"/>
    <w:lvl w:ilvl="0">
      <w:lvlJc w:val="left"/>
      <w:lvlText w:val="%1"/>
      <w:numFmt w:val="decimal"/>
      <w:start w:val="93"/>
    </w:lvl>
  </w:abstractNum>
  <w:abstractNum w:abstractNumId="80">
    <w:nsid w:val="488AC1A"/>
    <w:multiLevelType w:val="hybridMultilevel"/>
    <w:lvl w:ilvl="0">
      <w:lvlJc w:val="left"/>
      <w:lvlText w:val="%1"/>
      <w:numFmt w:val="decimal"/>
      <w:start w:val="96"/>
    </w:lvl>
    <w:lvl w:ilvl="1">
      <w:lvlJc w:val="left"/>
      <w:lvlText w:val="(%2)"/>
      <w:numFmt w:val="lowerLetter"/>
      <w:start w:val="1"/>
    </w:lvl>
  </w:abstractNum>
  <w:abstractNum w:abstractNumId="81">
    <w:nsid w:val="5FB8011C"/>
    <w:multiLevelType w:val="hybridMultilevel"/>
    <w:lvl w:ilvl="0">
      <w:lvlJc w:val="left"/>
      <w:lvlText w:val="%1"/>
      <w:numFmt w:val="decimal"/>
      <w:start w:val="97"/>
    </w:lvl>
  </w:abstractNum>
  <w:abstractNum w:abstractNumId="82">
    <w:nsid w:val="6AA78F7F"/>
    <w:multiLevelType w:val="hybridMultilevel"/>
    <w:lvl w:ilvl="0">
      <w:lvlJc w:val="left"/>
      <w:lvlText w:val="%1"/>
      <w:numFmt w:val="decimal"/>
      <w:start w:val="98"/>
    </w:lvl>
  </w:abstractNum>
  <w:abstractNum w:abstractNumId="83">
    <w:nsid w:val="7672BD23"/>
    <w:multiLevelType w:val="hybridMultilevel"/>
    <w:lvl w:ilvl="0">
      <w:lvlJc w:val="left"/>
      <w:lvlText w:val="%1"/>
      <w:numFmt w:val="decimal"/>
      <w:start w:val="103"/>
    </w:lvl>
    <w:lvl w:ilvl="1">
      <w:lvlJc w:val="left"/>
      <w:lvlText w:val="(%2)"/>
      <w:numFmt w:val="lowerLetter"/>
      <w:start w:val="1"/>
    </w:lvl>
  </w:abstractNum>
  <w:abstractNum w:abstractNumId="84">
    <w:nsid w:val="6FC75AF8"/>
    <w:multiLevelType w:val="hybridMultilevel"/>
    <w:lvl w:ilvl="0">
      <w:lvlJc w:val="left"/>
      <w:lvlText w:val="%1"/>
      <w:numFmt w:val="decimal"/>
      <w:start w:val="111"/>
    </w:lvl>
  </w:abstractNum>
  <w:abstractNum w:abstractNumId="85">
    <w:nsid w:val="6A5F7029"/>
    <w:multiLevelType w:val="hybridMultilevel"/>
    <w:lvl w:ilvl="0">
      <w:lvlJc w:val="left"/>
      <w:lvlText w:val="%1"/>
      <w:numFmt w:val="decimal"/>
      <w:start w:val="112"/>
    </w:lvl>
  </w:abstractNum>
  <w:abstractNum w:abstractNumId="86">
    <w:nsid w:val="7D5E18F8"/>
    <w:multiLevelType w:val="hybridMultilevel"/>
    <w:lvl w:ilvl="0">
      <w:lvlJc w:val="left"/>
      <w:lvlText w:val="%1"/>
      <w:numFmt w:val="decimal"/>
      <w:start w:val="119"/>
    </w:lvl>
  </w:abstractNum>
  <w:abstractNum w:abstractNumId="87">
    <w:nsid w:val="5F3534A4"/>
    <w:multiLevelType w:val="hybridMultilevel"/>
    <w:lvl w:ilvl="0">
      <w:lvlJc w:val="left"/>
      <w:lvlText w:val="%1"/>
      <w:numFmt w:val="decimal"/>
      <w:start w:val="121"/>
    </w:lvl>
  </w:abstractNum>
  <w:abstractNum w:abstractNumId="88">
    <w:nsid w:val="73A1821B"/>
    <w:multiLevelType w:val="hybridMultilevel"/>
    <w:lvl w:ilvl="0">
      <w:lvlJc w:val="left"/>
      <w:lvlText w:val="%1"/>
      <w:numFmt w:val="decimal"/>
      <w:start w:val="125"/>
    </w:lvl>
  </w:abstractNum>
  <w:abstractNum w:abstractNumId="89">
    <w:nsid w:val="7DE67713"/>
    <w:multiLevelType w:val="hybridMultilevel"/>
    <w:lvl w:ilvl="0">
      <w:lvlJc w:val="left"/>
      <w:lvlText w:val="%1"/>
      <w:numFmt w:val="decimal"/>
      <w:start w:val="129"/>
    </w:lvl>
  </w:abstractNum>
  <w:abstractNum w:abstractNumId="90">
    <w:nsid w:val="555C55B5"/>
    <w:multiLevelType w:val="hybridMultilevel"/>
    <w:lvl w:ilvl="0">
      <w:lvlJc w:val="left"/>
      <w:lvlText w:val="%1"/>
      <w:numFmt w:val="decimal"/>
      <w:start w:val="132"/>
    </w:lvl>
  </w:abstractNum>
  <w:abstractNum w:abstractNumId="91">
    <w:nsid w:val="3FA62ACA"/>
    <w:multiLevelType w:val="hybridMultilevel"/>
    <w:lvl w:ilvl="0">
      <w:lvlJc w:val="left"/>
      <w:lvlText w:val="%1"/>
      <w:numFmt w:val="decimal"/>
      <w:start w:val="133"/>
    </w:lvl>
    <w:lvl w:ilvl="1">
      <w:lvlJc w:val="left"/>
      <w:lvlText w:val="(%2)"/>
      <w:numFmt w:val="lowerLetter"/>
      <w:start w:val="1"/>
    </w:lvl>
    <w:lvl w:ilvl="2">
      <w:lvlJc w:val="left"/>
      <w:lvlText w:val="(%3)"/>
      <w:numFmt w:val="lowerRoman"/>
      <w:start w:val="1"/>
    </w:lvl>
  </w:abstractNum>
  <w:abstractNum w:abstractNumId="92">
    <w:nsid w:val="14FCE74E"/>
    <w:multiLevelType w:val="hybridMultilevel"/>
    <w:lvl w:ilvl="0">
      <w:lvlJc w:val="left"/>
      <w:lvlText w:val="(%1)"/>
      <w:numFmt w:val="lowerLetter"/>
      <w:start w:val="3"/>
    </w:lvl>
    <w:lvl w:ilvl="1">
      <w:lvlJc w:val="left"/>
      <w:lvlText w:val="(%2)"/>
      <w:numFmt w:val="lowerRoman"/>
      <w:start w:val="1"/>
    </w:lvl>
  </w:abstractNum>
  <w:abstractNum w:abstractNumId="93">
    <w:nsid w:val="6A3DD3E8"/>
    <w:multiLevelType w:val="hybridMultilevel"/>
    <w:lvl w:ilvl="0">
      <w:lvlJc w:val="left"/>
      <w:lvlText w:val="(%1)"/>
      <w:numFmt w:val="lowerLetter"/>
      <w:start w:val="5"/>
    </w:lvl>
  </w:abstractNum>
  <w:abstractNum w:abstractNumId="94">
    <w:nsid w:val="71C91298"/>
    <w:multiLevelType w:val="hybridMultilevel"/>
    <w:lvl w:ilvl="0">
      <w:lvlJc w:val="left"/>
      <w:lvlText w:val="%1"/>
      <w:numFmt w:val="decimal"/>
      <w:start w:val="134"/>
    </w:lvl>
  </w:abstractNum>
  <w:abstractNum w:abstractNumId="95">
    <w:nsid w:val="9DAF632"/>
    <w:multiLevelType w:val="hybridMultilevel"/>
    <w:lvl w:ilvl="0">
      <w:lvlJc w:val="left"/>
      <w:lvlText w:val="%1"/>
      <w:numFmt w:val="decimal"/>
      <w:start w:val="138"/>
    </w:lvl>
    <w:lvl w:ilvl="1">
      <w:lvlJc w:val="left"/>
      <w:lvlText w:val="(%2)"/>
      <w:numFmt w:val="lowerLetter"/>
      <w:start w:val="1"/>
    </w:lvl>
  </w:abstractNum>
  <w:abstractNum w:abstractNumId="96">
    <w:nsid w:val="53299938"/>
    <w:multiLevelType w:val="hybridMultilevel"/>
    <w:lvl w:ilvl="0">
      <w:lvlJc w:val="left"/>
      <w:lvlText w:val="%1"/>
      <w:numFmt w:val="decimal"/>
      <w:start w:val="140"/>
    </w:lvl>
  </w:abstractNum>
  <w:abstractNum w:abstractNumId="97">
    <w:nsid w:val="1FBFE8E0"/>
    <w:multiLevelType w:val="hybridMultilevel"/>
    <w:lvl w:ilvl="0">
      <w:lvlJc w:val="left"/>
      <w:lvlText w:val="%1"/>
      <w:numFmt w:val="decimal"/>
      <w:start w:val="142"/>
    </w:lvl>
  </w:abstractNum>
  <w:abstractNum w:abstractNumId="98">
    <w:nsid w:val="5092CA79"/>
    <w:multiLevelType w:val="hybridMultilevel"/>
    <w:lvl w:ilvl="0">
      <w:lvlJc w:val="left"/>
      <w:lvlText w:val="%1"/>
      <w:numFmt w:val="decimal"/>
      <w:start w:val="144"/>
    </w:lvl>
  </w:abstractNum>
  <w:abstractNum w:abstractNumId="99">
    <w:nsid w:val="1D545C4D"/>
    <w:multiLevelType w:val="hybridMultilevel"/>
    <w:lvl w:ilvl="0">
      <w:lvlJc w:val="left"/>
      <w:lvlText w:val="%1"/>
      <w:numFmt w:val="decimal"/>
      <w:start w:val="146"/>
    </w:lvl>
  </w:abstractNum>
  <w:abstractNum w:abstractNumId="100">
    <w:nsid w:val="59ADEA3D"/>
    <w:multiLevelType w:val="hybridMultilevel"/>
    <w:lvl w:ilvl="0">
      <w:lvlJc w:val="left"/>
      <w:lvlText w:val="%1"/>
      <w:numFmt w:val="decimal"/>
      <w:start w:val="147"/>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bullet"/>
      <w:start w:val="1"/>
    </w:lvl>
  </w:abstractNum>
  <w:abstractNum w:abstractNumId="103">
    <w:nsid w:val="1D9F6E5F"/>
    <w:multiLevelType w:val="hybridMultilevel"/>
    <w:lvl w:ilvl="0">
      <w:lvlJc w:val="left"/>
      <w:lvlText w:val="2"/>
      <w:numFmt w:val="bullet"/>
      <w:start w:val="1"/>
    </w:lvl>
  </w:abstractNum>
  <w:abstractNum w:abstractNumId="104">
    <w:nsid w:val="97E1B4E"/>
    <w:multiLevelType w:val="hybridMultilevel"/>
    <w:lvl w:ilvl="0">
      <w:lvlJc w:val="left"/>
      <w:lvlText w:val="3"/>
      <w:numFmt w:val="bullet"/>
      <w:start w:val="1"/>
    </w:lvl>
  </w:abstractNum>
  <w:abstractNum w:abstractNumId="105">
    <w:nsid w:val="51088277"/>
    <w:multiLevelType w:val="hybridMultilevel"/>
    <w:lvl w:ilvl="0">
      <w:lvlJc w:val="left"/>
      <w:lvlText w:val="4"/>
      <w:numFmt w:val="bullet"/>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6"/>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2"/>
    </w:lvl>
  </w:abstractNum>
  <w:abstractNum w:abstractNumId="113">
    <w:nsid w:val="E7FFA2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jpeg"/><Relationship Id="rId115" Type="http://schemas.openxmlformats.org/officeDocument/2006/relationships/image" Target="media/image103.jpe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jpe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70" Type="http://schemas.openxmlformats.org/officeDocument/2006/relationships/hyperlink" Target="https://www.sec.gov/ix?doc=/Archives/edgar/data/1413855/000121390026048631/ea0286621-20f_aifu.htm" TargetMode="External"/><Relationship Id="rId71" Type="http://schemas.openxmlformats.org/officeDocument/2006/relationships/hyperlink" Target="https://www.sec.gov/Archives/edgar/data/1413855/000121390026048811/ea0288191-6k_aifu.htm" TargetMode="External"/><Relationship Id="rId72" Type="http://schemas.openxmlformats.org/officeDocument/2006/relationships/hyperlink" Target="https://www.sec.gov/Archives/edgar/data/1413855/000119312507225513/d8a12b.htm" TargetMode="External"/><Relationship Id="rId77" Type="http://schemas.openxmlformats.org/officeDocument/2006/relationships/hyperlink" Target="https://www.sec.gov/Archives/edgar/data/1413855/000121390025120951/ea026949901ex10-1_aifu.htm" TargetMode="External"/><Relationship Id="rId78" Type="http://schemas.openxmlformats.org/officeDocument/2006/relationships/hyperlink" Target="https://www.sec.gov/Archives/edgar/data/1413855/000121390025000399/ea022656901ex10-2_aix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2026-05-26T15:13:08Z</dcterms:created>
  <dcterms:modified xsi:type="dcterms:W3CDTF">2026-05-26T15:13:08Z</dcterms:modified>
</cp:coreProperties>
</file>