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AIFU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G3314G110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Infinew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Katherine Wang Room 5031, 5/F Yau Lee Center No. 45 Hoi Yuen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Kowloon, K3, 999077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85261944231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Infinew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1,225,250.00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1,225,250.00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1,225,250.00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0.99 %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Note to Row 8, 10, 11: Includes 250 Class A ordinary shares and 1,225,000 Class B ordinary shares directly held by</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8"/>
              </w:rPr>
              <w:t>Infinew Limited, which is 100% owned by Katherine Wang. Note to Row 13: The percentage calculation is based on</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123,514,110 ordinary shares, including 116,014,110 Class A ordinary shares and 7,500,000 Class B ordinary shares,</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of the Issuer 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Katherine Wang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GUINEA-BISSAU</w:t>
            </w: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1,225,250.00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1,225,250.00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1,225,250.00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0.99 %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Note to Row 8, 10, 11: Includes 250 Class A ordinary shares and 1,225,000 Class B ordinary shares directly held by</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8"/>
              </w:rPr>
              <w:t>Infinew Limited, which is 100% owned by Katherine Wang. Note to Row 13: The percentage calculation is based on</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123,514,110 ordinary shares, including 116,014,110 Class A ordinary shares and 7,500,000 Class B ordinary shares,</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of the Issuer 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 par value $0.4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AIFU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1-10, Jinzhong Guobin Hui, Xili St., Shenzhen, CHINA , 518055.</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to Schedule 13D (this "Amendment No. 3") amends and supplements the prior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as filed on January 15, 2025 (the "Original 13D"), Amendment No. 1 to Schedule 13D as filed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September 24, 2025 and Amendment No. 2 to Schedule 13D as filed on December 23, 2025 (the Original 13D as amended and supplemented, this "Schedule 13D"), and relates to the beneficial ownership of Class A ordinary shares, par value $0.4 per share (the "Class A Ordinary Shares") of AIFU Inc., a Cayman Islands exempted company (the "Issuer") whose principal executive office is located at Room 001, Build 10, Jinzhong Guobin Hui, 2nd Road,</w:t>
      </w:r>
    </w:p>
    <w:p>
      <w:pPr>
        <w:spacing w:after="0" w:line="3" w:lineRule="exact"/>
        <w:rPr>
          <w:sz w:val="20"/>
          <w:szCs w:val="20"/>
          <w:color w:val="auto"/>
        </w:rPr>
      </w:pPr>
    </w:p>
    <w:p>
      <w:pPr>
        <w:ind w:left="40" w:right="1880" w:firstLine="952"/>
        <w:spacing w:after="0" w:line="270" w:lineRule="auto"/>
        <w:rPr>
          <w:sz w:val="20"/>
          <w:szCs w:val="20"/>
          <w:color w:val="auto"/>
        </w:rPr>
      </w:pPr>
      <w:r>
        <w:rPr>
          <w:rFonts w:ascii="Times New Roman" w:cs="Times New Roman" w:eastAsia="Times New Roman" w:hAnsi="Times New Roman"/>
          <w:sz w:val="22"/>
          <w:szCs w:val="22"/>
          <w:color w:val="auto"/>
        </w:rPr>
        <w:t>Qinyuan, Lihu Community, Xili Street, Nanshan District, Shenzhen, People's Republic of China. Item 3. Source and Amount of Funds or Other Consideration</w:t>
      </w:r>
    </w:p>
    <w:p>
      <w:pPr>
        <w:spacing w:after="0" w:line="1" w:lineRule="exact"/>
        <w:rPr>
          <w:sz w:val="20"/>
          <w:szCs w:val="20"/>
          <w:color w:val="auto"/>
        </w:rPr>
      </w:pPr>
    </w:p>
    <w:p>
      <w:pPr>
        <w:ind w:left="960" w:right="160"/>
        <w:spacing w:after="0" w:line="244" w:lineRule="auto"/>
        <w:rPr>
          <w:sz w:val="20"/>
          <w:szCs w:val="20"/>
          <w:color w:val="auto"/>
        </w:rPr>
      </w:pPr>
      <w:r>
        <w:rPr>
          <w:rFonts w:ascii="Times New Roman" w:cs="Times New Roman" w:eastAsia="Times New Roman" w:hAnsi="Times New Roman"/>
          <w:sz w:val="22"/>
          <w:szCs w:val="22"/>
          <w:color w:val="auto"/>
        </w:rPr>
        <w:t>Item 3 is hereby amended and supplemented in its entirety as follows: Not applicable. The transaction described in Item 5 involved an issuance of shares by the Issuer to certain third parties. The Reporting Persons were not a party to this transaction and did not provide any funds or other consideration.</w:t>
      </w:r>
    </w:p>
    <w:p>
      <w:pPr>
        <w:spacing w:after="0" w:line="1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260"/>
        <w:spacing w:after="0" w:line="244" w:lineRule="auto"/>
        <w:rPr>
          <w:sz w:val="20"/>
          <w:szCs w:val="20"/>
          <w:color w:val="auto"/>
        </w:rPr>
      </w:pPr>
      <w:r>
        <w:rPr>
          <w:rFonts w:ascii="Times New Roman" w:cs="Times New Roman" w:eastAsia="Times New Roman" w:hAnsi="Times New Roman"/>
          <w:sz w:val="22"/>
          <w:szCs w:val="22"/>
          <w:color w:val="auto"/>
        </w:rPr>
        <w:t>Item 4 is hereby amended and supplemented to add the following: This Amendment No 3.is filed to report that the Reporting Persons' aggregate percentage beneficial ownership and voting power in the Issuer was diluted as a result of the Issuer's issuance of shares as described in Item 5 below.</w:t>
      </w:r>
    </w:p>
    <w:p>
      <w:pPr>
        <w:spacing w:after="0" w:line="1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240"/>
          </w:cols>
          <w:pgMar w:left="320" w:top="111" w:right="339" w:bottom="0" w:gutter="0" w:footer="0" w:header="0"/>
        </w:sectPr>
      </w:pPr>
    </w:p>
    <w:bookmarkStart w:id="3" w:name="page4"/>
    <w:bookmarkEnd w:id="3"/>
    <w:p>
      <w:pPr>
        <w:ind w:left="920" w:right="8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hereby amended and restated as follow: The responses of the Reporting Person to Rows (7) through (13), including the footnotes thereto, of the cover pages of this Schedule 13D/A are hereby incorporated by reference in this Item 5. Pursuant to the current report of the Issuer on Form 6-K filed on January 9, 2026, on January 9, 2026, the Issuer completed the issuance of 102,578,839 Class A ordinary shares to YS Management Company Limited and Ethereal Group Ltd, in relations to its previously announced acquisition of 100% of the equity interest in Nova Lumina Limited (the "Share Issuance"). As reported in the Original 13D, Amendment No. 1 and Amendment No. 2, the Reporting Persons beneficially own 1,225,250 ordinary shares, including 250 Class A ordinary shares and 1,225,000 Class B ordinary shares.. The Reporting Persons did not acquire or dispose of any shares subsequent to the filing of the Original 13D on August 1, 2025. However, as a direct result of the increase in the total number of the Issuer's outstanding shares from the Share Issuance, the Reporting Persons' aggregate beneficial ownership was diluted from approximately 5.85%, as reported in Schedule 13D (Amendment No. 2), to approximately 0.99%, and their aggregate voting power was diluted from approximately 16.05% to approximately 14.15%. The percentage of beneficial ownership of the Reporting Person is based on 123,514,110 ordinary shares, including 116,014,110 Class A ordinary shares and 7,500,000 Class B ordinary shares, of the Issuer outstanding as of January 9, 2026.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p>
      <w:pPr>
        <w:spacing w:after="0" w:line="22" w:lineRule="exact"/>
        <w:rPr>
          <w:sz w:val="20"/>
          <w:szCs w:val="20"/>
          <w:color w:val="auto"/>
        </w:rPr>
      </w:pPr>
    </w:p>
    <w:p>
      <w:pPr>
        <w:ind w:left="920" w:right="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5(e) is hereby amended and restated as follow: As of January 9, 2026, as the result of the dilution from the Share Issuance, the Reporting Persons ceased to be the beneficial owner of more than five percent of the class of securities.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Exhibit 1: Joint Filing Agreement dated January 13, 2026 by and between the Reporting Persons Exhibit 2: List of directors and executive officers of Infinew Limited. (filed herewith)</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Infinew Limited</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Wang</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Katherine Wang/Director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Katherine Wang</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Wang</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Katherine Wang/Director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ectPr>
          <w:pgSz w:w="11900" w:h="16838" w:orient="portrait"/>
          <w:cols w:equalWidth="0" w:num="1">
            <w:col w:w="11140"/>
          </w:cols>
          <w:pgMar w:left="36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each of the undersigned parties hereby agrees to file jointly the statement on Schedule 13D (including any amendments thereto) with respect to the Ordinary Shares, par value $0.4 per share, of AIFU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has been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4700"/>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January 13, 2026.</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Infinew Limited</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 /s/ Katherine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17145</wp:posOffset>
            </wp:positionV>
            <wp:extent cx="26314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color w:val="auto"/>
        </w:rPr>
        <w:t>Name: Katherine Wang</w:t>
      </w:r>
    </w:p>
    <w:p>
      <w:pPr>
        <w:spacing w:after="0" w:line="27" w:lineRule="exact"/>
        <w:rPr>
          <w:sz w:val="20"/>
          <w:szCs w:val="20"/>
          <w:color w:val="auto"/>
        </w:rPr>
      </w:pPr>
    </w:p>
    <w:p>
      <w:pPr>
        <w:ind w:left="6760"/>
        <w:spacing w:after="0"/>
        <w:tabs>
          <w:tab w:leader="none" w:pos="72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Katherine Wang</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Katherine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17145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308610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333"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INFINEW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business address, present principal employment and citizenship of the sole director of Infinew Limited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27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120" w:type="dxa"/>
            <w:vAlign w:val="bottom"/>
          </w:tcPr>
          <w:p>
            <w:pPr>
              <w:spacing w:after="0"/>
              <w:rPr>
                <w:sz w:val="21"/>
                <w:szCs w:val="21"/>
                <w:color w:val="auto"/>
              </w:rPr>
            </w:pP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Present Principal Employment</w:t>
            </w:r>
          </w:p>
        </w:tc>
        <w:tc>
          <w:tcPr>
            <w:tcW w:w="28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2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Katherine Wang</w:t>
            </w:r>
          </w:p>
        </w:tc>
        <w:tc>
          <w:tcPr>
            <w:tcW w:w="1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Room 5031, 5/F, Yau Lee Center,</w:t>
            </w:r>
          </w:p>
        </w:tc>
        <w:tc>
          <w:tcPr>
            <w:tcW w:w="1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Infinew Limited</w:t>
            </w:r>
          </w:p>
        </w:tc>
        <w:tc>
          <w:tcPr>
            <w:tcW w:w="1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Republic of Guinea-Bissau</w:t>
            </w:r>
          </w:p>
        </w:tc>
      </w:tr>
      <w:tr>
        <w:trPr>
          <w:trHeight w:val="216"/>
        </w:trPr>
        <w:tc>
          <w:tcPr>
            <w:tcW w:w="27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45 Hoi Yuen Road, Kwun Tong,</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4"/>
        </w:trPr>
        <w:tc>
          <w:tcPr>
            <w:tcW w:w="270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Kowloon, Hong Kong SAR</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Infinew Limited is 100% owned by Ms. Katherine Wang. Ms. Wang is the sole director of Infinew Limited.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6"/>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2026-01-13T15:58:10Z</dcterms:created>
  <dcterms:modified xsi:type="dcterms:W3CDTF">2026-01-13T15:58:10Z</dcterms:modified>
</cp:coreProperties>
</file>