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>
          <w:bdr w:val="single" w:sz="16" w:space="1" w:color="000000"/>
        </w:rPr>
      </w:pPr>
      <w:bookmarkStart w:id="0" w:name="ea0306524-6k_aifu.htm"/>
      <w:bookmarkStart w:id="1" w:name="ksea03065246k_aifu"/>
      <w:bookmarkEnd w:id="0"/>
      <w:bookmarkEnd w:id="1"/>
      <w:r>
        <w:rPr>
          <w:bdr w:val="single" w:sz="16" w:space="1" w:color="000000"/>
        </w:rPr>
        <w:t> 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UNITED STATES</w:t>
        <w:br/>
        <w:t>SECURITIES AND EXCHANGE COMMISSION</w:t>
        <w:br/>
        <w:t>Washington, D.C. 20549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FORM 6-K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REPORT OF FOREIGN PRIVATE ISSUER</w:t>
        <w:br/>
        <w:t>PURSUANT TO RULE 13a-16 OR 15d-16 UNDER</w:t>
        <w:br/>
        <w:t>THE SECURITIES EXCHANGE ACT OF 1934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For the month of September 2026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Commission File Number: 001-33768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AIFU INC.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Room 01, Building 10,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Jinzhong Guobin Hui Qinyuan 2nd Road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Lihu Community, Xili Street</w:t>
        <w:br/>
        <w:t>Shenzhen, 518055</w:t>
        <w:br/>
        <w:t>People’s Republic of China</w:t>
        <w:br/>
        <w:t>(Address of principal executive offices)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Indicate by check mark whether the registrant files or will file annual reports under cover of Form 20-F or Form 40-F.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Form 20-F ☒      Form 40-F ☐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Completion of Issuance of Class B Ordinary Shares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shd w:fill="FFFFFF" w:val="clear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On September 24, 2026 AIFU Inc. (“AIFU” or the “Company”) completed its previously announced issuance of 10,000,000 Class B ordinary shares (the “Subscription Shares”) to Expansion Group Ltd. (“Expansion”).</w:t>
      </w:r>
    </w:p>
    <w:p>
      <w:pPr>
        <w:pStyle w:val="TextBody"/>
        <w:shd w:fill="FFFFFF" w:val="clear"/>
        <w:bidi w:val="0"/>
        <w:spacing w:before="0" w:after="0"/>
        <w:ind w:left="0" w:right="0" w:hanging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shd w:fill="FFFFFF" w:val="clear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Pursuant to the share subscription agreement entered into on September 9, 2026 (the “Agreement”), Expansion acquired the Subscription Shares at a price of US$0.002 per share, for aggregate gross proceeds to the Company of US$20,000. The Company intends to use the net proceeds for general working capital purposes.</w:t>
      </w:r>
    </w:p>
    <w:p>
      <w:pPr>
        <w:pStyle w:val="TextBody"/>
        <w:shd w:fill="FFFFFF" w:val="clear"/>
        <w:bidi w:val="0"/>
        <w:spacing w:before="0" w:after="0"/>
        <w:ind w:left="0" w:right="0" w:hanging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shd w:fill="FFFFFF" w:val="clear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Following this issuance, the Company has a total of 16,175,748 issued and outstanding ordinary shares, consisting of 5,925,748 Class A ordinary shares and 10,250,000 Class B ordinary shares. Expansion beneficially owns 13 Class A ordinary shares and 10,250,000 Class B ordinary shares of the Company, representing approximately 63.37% of the total issued and outstanding ordinary shares of the Company and approximately 99.43% of the aggregate voting power of the Company.</w:t>
      </w:r>
    </w:p>
    <w:p>
      <w:pPr>
        <w:pStyle w:val="TextBody"/>
        <w:shd w:fill="FFFFFF" w:val="clear"/>
        <w:bidi w:val="0"/>
        <w:spacing w:before="0" w:after="0"/>
        <w:ind w:left="0" w:right="0" w:hanging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  <w:bdr w:val="single" w:sz="12" w:space="1" w:color="00000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  <w:bdr w:val="single" w:sz="12" w:space="1" w:color="000000"/>
        </w:rPr>
        <w:t>1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SIGNATURE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firstLine="72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pStyle w:val="TextBody"/>
        <w:bidi w:val="0"/>
        <w:spacing w:before="0" w:after="0"/>
        <w:ind w:left="0" w:right="0" w:firstLine="72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262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5"/>
        <w:gridCol w:w="590"/>
        <w:gridCol w:w="1955"/>
      </w:tblGrid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54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AIFU Inc.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54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By:</w:t>
            </w:r>
          </w:p>
        </w:tc>
        <w:tc>
          <w:tcPr>
            <w:tcW w:w="1955" w:type="dxa"/>
            <w:tcBorders>
              <w:bottom w:val="single" w:sz="12" w:space="0" w:color="000000"/>
            </w:tcBorders>
            <w:tcMar>
              <w:bottom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i/>
                <w:sz w:val="20"/>
              </w:rPr>
            </w:pPr>
            <w:r>
              <w:rPr>
                <w:rFonts w:ascii="Times New Roman;Times;Serif" w:hAnsi="Times New Roman;Times;Serif"/>
                <w:i/>
                <w:sz w:val="20"/>
              </w:rPr>
              <w:t>/s/ Mingxiu Luan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Name: </w:t>
            </w:r>
          </w:p>
        </w:tc>
        <w:tc>
          <w:tcPr>
            <w:tcW w:w="19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Mingxiu Luan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Title:</w:t>
            </w:r>
          </w:p>
        </w:tc>
        <w:tc>
          <w:tcPr>
            <w:tcW w:w="19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sz w:val="20"/>
              </w:rPr>
            </w:pPr>
            <w:r>
              <w:rPr>
                <w:rFonts w:ascii="Times New Roman;Times;Serif" w:hAnsi="Times New Roman;Times;Serif"/>
                <w:sz w:val="20"/>
              </w:rPr>
              <w:t>Chief Executive Officer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Date: September 24, 2026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  <w:bdr w:val="single" w:sz="12" w:space="1" w:color="00000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  <w:bdr w:val="single" w:sz="12" w:space="1" w:color="000000"/>
        </w:rPr>
        <w:t>2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Times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298</Words>
  <Characters>1634</Characters>
  <CharactersWithSpaces>1940</CharactersWithSpaces>
  <Paragraphs>56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