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AIFU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 par value $0.002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YS Management Company Limited</w:t>
              <w:br/>
              <w:t>c/o Yif Liu, 28 Lower Kent Ridge Road</w:t>
              <w:br/>
              <w:t>Singapore, U0, 11837</w:t>
              <w:br/>
              <w:t>852 84353173</w:t>
            </w:r>
          </w:p>
          <w:p>
            <w:pPr>
              <w:pStyle w:val="TableContents"/>
              <w:bidi w:val="0"/>
              <w:jc w:val="left"/>
              <w:rPr/>
            </w:pPr>
            <w:r>
              <w:rPr/>
            </w:r>
          </w:p>
          <w:p>
            <w:pPr>
              <w:pStyle w:val="TableContents"/>
              <w:bidi w:val="0"/>
              <w:spacing w:before="0" w:after="0"/>
              <w:jc w:val="center"/>
              <w:rPr>
                <w:b/>
                <w:color w:val="0000FF"/>
              </w:rPr>
            </w:pPr>
            <w:r>
              <w:rPr>
                <w:b/>
                <w:color w:val="0000FF"/>
              </w:rPr>
              <w:t>Yif Liu</w:t>
              <w:br/>
              <w:t xml:space="preserve">28 Lower Kent Ridge Road, </w:t>
              <w:br/>
              <w:t>Singapore, U0, 11837</w:t>
              <w:br/>
              <w:t>852 84353173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YS Management Company Limited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4,826,333.00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4,826,333.00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4,826,333.00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7.89 %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Represents 4,826,333 Class A ordinary shares directly held by YS Management Company Limited, which is 100% owned by Yif Liu. Note to Row 13: The percentage calculation is based on 61,175,748 ordinary shares, including 50,925,748 Class A ordinary shares and 10,250,000 Class B ordinary shares, of the Issuer outstanding as of October 12, 2026 according to the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61"/>
        <w:gridCol w:w="7944"/>
      </w:tblGrid>
      <w:tr>
        <w:trPr/>
        <w:tc>
          <w:tcPr>
            <w:tcW w:w="2261" w:type="dxa"/>
            <w:tcBorders/>
            <w:vAlign w:val="center"/>
          </w:tcPr>
          <w:p>
            <w:pPr>
              <w:pStyle w:val="TableContents"/>
              <w:bidi w:val="0"/>
              <w:spacing w:before="0" w:after="283"/>
              <w:jc w:val="left"/>
              <w:rPr/>
            </w:pPr>
            <w:r>
              <w:rPr/>
              <w:t>1</w:t>
            </w:r>
          </w:p>
        </w:tc>
        <w:tc>
          <w:tcPr>
            <w:tcW w:w="794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Yif Liu</w:t>
            </w:r>
          </w:p>
        </w:tc>
      </w:tr>
      <w:tr>
        <w:trPr/>
        <w:tc>
          <w:tcPr>
            <w:tcW w:w="2261" w:type="dxa"/>
            <w:tcBorders/>
            <w:vAlign w:val="center"/>
          </w:tcPr>
          <w:p>
            <w:pPr>
              <w:pStyle w:val="TableContents"/>
              <w:bidi w:val="0"/>
              <w:spacing w:before="0" w:after="283"/>
              <w:jc w:val="left"/>
              <w:rPr/>
            </w:pPr>
            <w:r>
              <w:rPr/>
              <w:t>2</w:t>
            </w:r>
          </w:p>
        </w:tc>
        <w:tc>
          <w:tcPr>
            <w:tcW w:w="794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61" w:type="dxa"/>
            <w:tcBorders/>
            <w:vAlign w:val="center"/>
          </w:tcPr>
          <w:p>
            <w:pPr>
              <w:pStyle w:val="TableContents"/>
              <w:bidi w:val="0"/>
              <w:spacing w:before="0" w:after="283"/>
              <w:jc w:val="left"/>
              <w:rPr/>
            </w:pPr>
            <w:r>
              <w:rPr/>
              <w:t>3</w:t>
            </w:r>
          </w:p>
        </w:tc>
        <w:tc>
          <w:tcPr>
            <w:tcW w:w="7944" w:type="dxa"/>
            <w:tcBorders/>
            <w:vAlign w:val="center"/>
          </w:tcPr>
          <w:p>
            <w:pPr>
              <w:pStyle w:val="TableContents"/>
              <w:bidi w:val="0"/>
              <w:spacing w:before="0" w:after="283"/>
              <w:jc w:val="left"/>
              <w:rPr/>
            </w:pPr>
            <w:r>
              <w:rPr/>
              <w:t>SEC use only</w:t>
            </w:r>
          </w:p>
        </w:tc>
      </w:tr>
      <w:tr>
        <w:trPr/>
        <w:tc>
          <w:tcPr>
            <w:tcW w:w="2261" w:type="dxa"/>
            <w:tcBorders/>
            <w:vAlign w:val="center"/>
          </w:tcPr>
          <w:p>
            <w:pPr>
              <w:pStyle w:val="TableContents"/>
              <w:bidi w:val="0"/>
              <w:spacing w:before="0" w:after="283"/>
              <w:jc w:val="left"/>
              <w:rPr/>
            </w:pPr>
            <w:r>
              <w:rPr/>
              <w:t>4</w:t>
            </w:r>
          </w:p>
        </w:tc>
        <w:tc>
          <w:tcPr>
            <w:tcW w:w="794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61" w:type="dxa"/>
            <w:tcBorders/>
            <w:vAlign w:val="center"/>
          </w:tcPr>
          <w:p>
            <w:pPr>
              <w:pStyle w:val="TableContents"/>
              <w:bidi w:val="0"/>
              <w:spacing w:before="0" w:after="283"/>
              <w:jc w:val="left"/>
              <w:rPr/>
            </w:pPr>
            <w:r>
              <w:rPr/>
              <w:t>5</w:t>
            </w:r>
          </w:p>
        </w:tc>
        <w:tc>
          <w:tcPr>
            <w:tcW w:w="794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61" w:type="dxa"/>
            <w:tcBorders/>
            <w:vAlign w:val="center"/>
          </w:tcPr>
          <w:p>
            <w:pPr>
              <w:pStyle w:val="TableContents"/>
              <w:bidi w:val="0"/>
              <w:spacing w:before="0" w:after="283"/>
              <w:jc w:val="left"/>
              <w:rPr/>
            </w:pPr>
            <w:r>
              <w:rPr/>
              <w:t>6</w:t>
            </w:r>
          </w:p>
        </w:tc>
        <w:tc>
          <w:tcPr>
            <w:tcW w:w="794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GUINEA-BISSAU </w:t>
            </w:r>
          </w:p>
        </w:tc>
      </w:tr>
      <w:tr>
        <w:trPr/>
        <w:tc>
          <w:tcPr>
            <w:tcW w:w="226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4,826,333.00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4,826,333.00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4" w:type="dxa"/>
            <w:tcBorders/>
            <w:vAlign w:val="center"/>
          </w:tcPr>
          <w:p>
            <w:pPr>
              <w:pStyle w:val="TableContents"/>
              <w:bidi w:val="0"/>
              <w:spacing w:before="0" w:after="283"/>
              <w:jc w:val="left"/>
              <w:rPr>
                <w:sz w:val="4"/>
                <w:szCs w:val="4"/>
              </w:rPr>
            </w:pPr>
            <w:r>
              <w:rPr>
                <w:sz w:val="4"/>
                <w:szCs w:val="4"/>
              </w:rPr>
            </w:r>
          </w:p>
        </w:tc>
      </w:tr>
      <w:tr>
        <w:trPr/>
        <w:tc>
          <w:tcPr>
            <w:tcW w:w="2261" w:type="dxa"/>
            <w:tcBorders/>
            <w:vAlign w:val="center"/>
          </w:tcPr>
          <w:p>
            <w:pPr>
              <w:pStyle w:val="TableContents"/>
              <w:bidi w:val="0"/>
              <w:spacing w:before="0" w:after="283"/>
              <w:jc w:val="left"/>
              <w:rPr/>
            </w:pPr>
            <w:r>
              <w:rPr/>
              <w:t>11</w:t>
            </w:r>
          </w:p>
        </w:tc>
        <w:tc>
          <w:tcPr>
            <w:tcW w:w="794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4,826,333.00</w:t>
            </w:r>
          </w:p>
        </w:tc>
      </w:tr>
      <w:tr>
        <w:trPr/>
        <w:tc>
          <w:tcPr>
            <w:tcW w:w="2261" w:type="dxa"/>
            <w:tcBorders/>
            <w:vAlign w:val="center"/>
          </w:tcPr>
          <w:p>
            <w:pPr>
              <w:pStyle w:val="TableContents"/>
              <w:bidi w:val="0"/>
              <w:spacing w:before="0" w:after="283"/>
              <w:jc w:val="left"/>
              <w:rPr/>
            </w:pPr>
            <w:r>
              <w:rPr/>
              <w:t>12</w:t>
            </w:r>
          </w:p>
        </w:tc>
        <w:tc>
          <w:tcPr>
            <w:tcW w:w="794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61" w:type="dxa"/>
            <w:tcBorders/>
            <w:vAlign w:val="center"/>
          </w:tcPr>
          <w:p>
            <w:pPr>
              <w:pStyle w:val="TableContents"/>
              <w:bidi w:val="0"/>
              <w:spacing w:before="0" w:after="283"/>
              <w:jc w:val="left"/>
              <w:rPr/>
            </w:pPr>
            <w:r>
              <w:rPr/>
              <w:t>13</w:t>
            </w:r>
          </w:p>
        </w:tc>
        <w:tc>
          <w:tcPr>
            <w:tcW w:w="794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7.89 % </w:t>
            </w:r>
          </w:p>
        </w:tc>
      </w:tr>
      <w:tr>
        <w:trPr/>
        <w:tc>
          <w:tcPr>
            <w:tcW w:w="2261" w:type="dxa"/>
            <w:tcBorders/>
            <w:vAlign w:val="center"/>
          </w:tcPr>
          <w:p>
            <w:pPr>
              <w:pStyle w:val="TableContents"/>
              <w:bidi w:val="0"/>
              <w:spacing w:before="0" w:after="283"/>
              <w:jc w:val="left"/>
              <w:rPr/>
            </w:pPr>
            <w:r>
              <w:rPr/>
              <w:t>14</w:t>
            </w:r>
          </w:p>
        </w:tc>
        <w:tc>
          <w:tcPr>
            <w:tcW w:w="794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Represents 4,826,333 Class A ordinary shares directly held by YS Management Company Limited, which is 100% owned by Yif Liu. Note to Row 13: The percentage calculation is based on 61,175,748 ordinary shares, including 50,925,748 Class A ordinary shares and 10,250,000 Class B ordinary shares, of the Issuer outstanding as of October 12, 2026 according to the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$0.002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AIFU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01-10, Jinzhong Guobin Hui, Xili St., Shenzhen, CHINA , 518055.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to Schedule 13D (the "Amendment") amends and supplements the prior statement on Schedule 13D as filed on January 16, 2026 (the "Original 13D") and Amendment No. 1 to Schedule 13D as filed on September 28, 2026 (the Original 13D as amended and supplemented, the "Previous Schedule 13D"), and relates to the beneficial ownership of Class A ordinary shares, par value $0.002 per share (the "Class A Ordinary Shares") of AIFU Inc., a Cayman Islands exempted company (the "Issuer") whose principal executive office is located at Room 001, Build 10, Jinzhong Guobin Hui, 2nd Road, Qinyuan, Lihu Community, Xili Street, Nanshan District, Shenzhen, People's Republic of China. Except as set forth below, all items of the Previous Schedule 13D remain unchanged. All capitalized terms not otherwise defined herein shall have the meanings ascribed to such terms in the Previous Schedule 13D.</w:t>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This Amendment is being jointly filed by YS Management Company Limited and Yif Liu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The registered address of YS Management Company Limited is Room 1604, 16/F, OfficePlus@Sheung Wan, 93-103 Wing Lok Street, Sheung Wan, Hong Kong. The address of Yif Liu is 28 Lower Kent Ridge Road, Singapore 11837</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Yif Liu serves as a Director of YS Management Company Limited, which is a limited liability company without any substantive operations.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During the last five years, neither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During the last five years, neither of the Reporting Person has been a party to a civil proceeding of a judicial or administrative body of competent jurisdiction and, as a result of such proceeding, is or was subject to a judgment, decree or final order enjoining future violations of, or prohibiting or mandating activities subject to, federal or state securities laws or finding any violation with respect to such law.</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0"/>
              <w:jc w:val="left"/>
              <w:rPr/>
            </w:pPr>
            <w:r>
              <w:rPr/>
              <w:t>YS Management Company Limited is a limited company incorporated under the laws of Hong Kong. Yif Liu is a citizen of the Republic of Guinea-Bissau.</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The information set forth in Item 5 is hereby incorporated by reference into this Item 3. Item 3 of the Previous Schedule 13D is hereby amended and supplemented in its entirety as follows: Not applicable. The transaction described in Item 5 involved an issuance of shares by the Issuer to certain third parties. The Reporting Persons were not parties to this transaction and did not provide any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The information set forth in Item 5 is hereby incorporated by reference into this Item 4. Item 4 is hereby amended and supplemented to add the following: This Amendment is filed to report that the Reporting Persons' aggregate percentage beneficial ownership and voting power in the Issuer were diluted as a result of the Issuer's issuance of shares as described in Item 5 below.</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The responses of each of the Reporting Persons to Rows (7) through (13), including the footnotes thereto, of the cover pages of this Amendment are hereby incorporated by reference in this Item 5. Item 5(a) of the Previous Schedule 13D is hereby amended and restated as follow: Pursuant to the current report of the Issuer on Form 6-K filed on October 13, 2026, on October 12, 2026, the Issuer completed the issuance of 45,000,000 Class A ordinary shares to certain third parties ("Share Issuance") in relation to a private placement offering. The Reporting Persons did not acquire or dispose of any shares subsequent to the filing of the Previous Schedule 13D on September 28, 2026. The decrease in the Reporting Persons' aggregate beneficial ownership and their aggregate voting power was solely due to the increase in the total number of the Issuer's outstanding shares from the Share Issuance. YSM beneficially owns 4,826,333 Class A ordinary shares of the Issuer, representing approximately 7.89% of the Issuer's total issued and outstanding ordinary shares and approximately 0.47% of the total voting power. YSM is 100% owned by Yif Liu. Consequently, Yif Liu may be deemed to beneficially own the Ordinary Shares held by YSM. The percentage calculation is based on 61,175,748 ordinary shares, including 50,925,748 Class A ordinary shares and 10,250,000 Class B ordinary shares, of the Issuer outstanding as of October 12, 2026 according to the records of the Issuer. The Class B ordinary shares are treated as converted into Class A ordinary shares only for the purpose of calculating the percentage ownership. Percentage of aggregate voting power is calculated by dividing the voting power beneficially owned by each Reporting Person by the voting power of all of our Class A ordinary shares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During the 60 days preceding the filing of this Amendment, none of the Reporting Persons has effected any transactions in the Ordinary Shares.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Exhibit 1: Joint Filing Agreement dated October 14, 2026 by and between the Reporting Persons Exhibit 2: List of directors and executive officers of YS Management Company Limited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YS Management Company Limited</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1"/>
        <w:gridCol w:w="4384"/>
      </w:tblGrid>
      <w:tr>
        <w:trPr/>
        <w:tc>
          <w:tcPr>
            <w:tcW w:w="58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Yif Liu</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Yif Liu /Director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10/14/2026</w:t>
                  </w:r>
                </w:p>
              </w:tc>
            </w:tr>
          </w:tbl>
          <w:p>
            <w:pPr>
              <w:pStyle w:val="TableContents"/>
              <w:bidi w:val="0"/>
              <w:spacing w:before="0" w:after="283"/>
              <w:jc w:val="left"/>
              <w:rPr/>
            </w:pPr>
            <w:r>
              <w:rPr/>
            </w:r>
          </w:p>
        </w:tc>
        <w:tc>
          <w:tcPr>
            <w:tcW w:w="4384" w:type="dxa"/>
            <w:tcBorders/>
            <w:vAlign w:val="center"/>
          </w:tcPr>
          <w:p>
            <w:pPr>
              <w:pStyle w:val="TableContents"/>
              <w:bidi w:val="0"/>
              <w:spacing w:before="0" w:after="283"/>
              <w:jc w:val="left"/>
              <w:rPr>
                <w:sz w:val="4"/>
                <w:szCs w:val="4"/>
              </w:rPr>
            </w:pPr>
            <w:r>
              <w:rPr>
                <w:sz w:val="4"/>
                <w:szCs w:val="4"/>
              </w:rPr>
            </w:r>
          </w:p>
        </w:tc>
      </w:tr>
    </w:tbl>
    <w:tbl>
      <w:tblPr>
        <w:tblW w:w="1974" w:type="dxa"/>
        <w:jc w:val="left"/>
        <w:tblInd w:w="0" w:type="dxa"/>
        <w:tblLayout w:type="fixed"/>
        <w:tblCellMar>
          <w:top w:w="28" w:type="dxa"/>
          <w:left w:w="28" w:type="dxa"/>
          <w:bottom w:w="28" w:type="dxa"/>
          <w:right w:w="28" w:type="dxa"/>
        </w:tblCellMar>
      </w:tblPr>
      <w:tblGrid>
        <w:gridCol w:w="987"/>
        <w:gridCol w:w="987"/>
      </w:tblGrid>
      <w:tr>
        <w:trPr/>
        <w:tc>
          <w:tcPr>
            <w:tcW w:w="987" w:type="dxa"/>
            <w:tcBorders/>
            <w:vAlign w:val="center"/>
          </w:tcPr>
          <w:p>
            <w:pPr>
              <w:pStyle w:val="TableContents"/>
              <w:bidi w:val="0"/>
              <w:spacing w:before="0" w:after="0"/>
              <w:jc w:val="left"/>
              <w:rPr/>
            </w:pPr>
            <w:r>
              <w:rPr/>
              <w:t> </w:t>
            </w:r>
          </w:p>
          <w:tbl>
            <w:tblPr>
              <w:tblW w:w="871" w:type="dxa"/>
              <w:jc w:val="left"/>
              <w:tblInd w:w="0" w:type="dxa"/>
              <w:tblLayout w:type="fixed"/>
              <w:tblCellMar>
                <w:top w:w="28" w:type="dxa"/>
                <w:left w:w="28" w:type="dxa"/>
                <w:bottom w:w="28" w:type="dxa"/>
                <w:right w:w="28" w:type="dxa"/>
              </w:tblCellMar>
            </w:tblPr>
            <w:tblGrid>
              <w:gridCol w:w="871"/>
            </w:tblGrid>
            <w:tr>
              <w:trPr/>
              <w:tc>
                <w:tcPr>
                  <w:tcW w:w="871" w:type="dxa"/>
                  <w:tcBorders/>
                  <w:vAlign w:val="center"/>
                </w:tcPr>
                <w:p>
                  <w:pPr>
                    <w:pStyle w:val="TableContents"/>
                    <w:bidi w:val="0"/>
                    <w:spacing w:before="0" w:after="0"/>
                    <w:jc w:val="left"/>
                    <w:rPr/>
                  </w:pPr>
                  <w:r>
                    <w:rPr/>
                    <w:t>Yif Liu</w:t>
                  </w:r>
                </w:p>
              </w:tc>
            </w:tr>
          </w:tbl>
          <w:p>
            <w:pPr>
              <w:pStyle w:val="TableContents"/>
              <w:bidi w:val="0"/>
              <w:spacing w:before="0" w:after="283"/>
              <w:jc w:val="left"/>
              <w:rPr/>
            </w:pPr>
            <w:r>
              <w:rPr/>
            </w:r>
          </w:p>
        </w:tc>
        <w:tc>
          <w:tcPr>
            <w:tcW w:w="9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Yif Liu</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Yif Liu</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10/14/2026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8" w:name="ea030857401ex-1.htm"/>
      <w:bookmarkStart w:id="19" w:name="ksea030857401ex1"/>
      <w:bookmarkEnd w:id="18"/>
      <w:bookmarkEnd w:id="19"/>
      <w:r>
        <w:rPr>
          <w:rFonts w:ascii="Times New Roman;Times;Serif" w:hAnsi="Times New Roman;Times;Serif"/>
          <w:b/>
          <w:i w:val="false"/>
          <w:caps w:val="false"/>
          <w:smallCaps w:val="false"/>
          <w:sz w:val="20"/>
        </w:rPr>
        <w:t>Exhibit 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each of the undersigned parties hereby agrees to file jointly the statement on Schedule 13D (including any amendments thereto) with respect to the Ordinary Shares, par value $0.002 per share, of AIFU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each of the parties hereto is responsible for the timely filing of such statement and any amendments thereto, and for the completeness and accuracy of information concerning such party contained therein, but such party is not responsible for the completeness and accuracy of information concerning another party unless such party knows or has reason to believe such information is inaccurate. It is understood and agreed that a copy of this agreement shall be attached as an exhibit to the statement on Schedule 13D, and any amendments thereto, filed on behalf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has been left intentionally blank.]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October 14, 2026.</w:t>
      </w:r>
    </w:p>
    <w:p>
      <w:pPr>
        <w:pStyle w:val="TextBody"/>
        <w:bidi w:val="0"/>
        <w:spacing w:before="0" w:after="0"/>
        <w:ind w:left="0" w:right="0" w:hanging="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75"/>
        <w:gridCol w:w="611"/>
        <w:gridCol w:w="1063"/>
        <w:gridCol w:w="1239"/>
      </w:tblGrid>
      <w:tr>
        <w:trPr/>
        <w:tc>
          <w:tcPr>
            <w:tcW w:w="75" w:type="dxa"/>
            <w:tcBorders/>
            <w:vAlign w:val="center"/>
          </w:tcPr>
          <w:p>
            <w:pPr>
              <w:pStyle w:val="TableContents"/>
              <w:bidi w:val="0"/>
              <w:spacing w:before="0" w:after="283"/>
              <w:jc w:val="both"/>
              <w:rPr/>
            </w:pPr>
            <w:r>
              <w:rPr/>
              <w:t> </w:t>
            </w:r>
          </w:p>
        </w:tc>
        <w:tc>
          <w:tcPr>
            <w:tcW w:w="2913"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YS Management Company Limited</w:t>
            </w:r>
          </w:p>
        </w:tc>
      </w:tr>
      <w:tr>
        <w:trPr/>
        <w:tc>
          <w:tcPr>
            <w:tcW w:w="75" w:type="dxa"/>
            <w:tcBorders/>
            <w:vAlign w:val="center"/>
          </w:tcPr>
          <w:p>
            <w:pPr>
              <w:pStyle w:val="TableContents"/>
              <w:bidi w:val="0"/>
              <w:spacing w:before="0" w:after="283"/>
              <w:jc w:val="both"/>
              <w:rPr/>
            </w:pPr>
            <w:r>
              <w:rPr/>
              <w:t> </w:t>
            </w:r>
          </w:p>
        </w:tc>
        <w:tc>
          <w:tcPr>
            <w:tcW w:w="2913"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2302"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Yif Liu</w:t>
            </w:r>
          </w:p>
        </w:tc>
      </w:tr>
      <w:tr>
        <w:trPr/>
        <w:tc>
          <w:tcPr>
            <w:tcW w:w="75" w:type="dxa"/>
            <w:tcBorders/>
            <w:vAlign w:val="center"/>
          </w:tcPr>
          <w:p>
            <w:pPr>
              <w:pStyle w:val="TableContents"/>
              <w:bidi w:val="0"/>
              <w:spacing w:before="0" w:after="283"/>
              <w:jc w:val="both"/>
              <w:rPr/>
            </w:pPr>
            <w:r>
              <w:rPr/>
              <w:t> </w:t>
            </w:r>
          </w:p>
        </w:tc>
        <w:tc>
          <w:tcPr>
            <w:tcW w:w="611" w:type="dxa"/>
            <w:tcBorders/>
            <w:vAlign w:val="center"/>
          </w:tcPr>
          <w:p>
            <w:pPr>
              <w:pStyle w:val="TableContents"/>
              <w:bidi w:val="0"/>
              <w:spacing w:before="0" w:after="283"/>
              <w:jc w:val="both"/>
              <w:rPr/>
            </w:pPr>
            <w:r>
              <w:rPr/>
              <w:t> </w:t>
            </w:r>
          </w:p>
        </w:tc>
        <w:tc>
          <w:tcPr>
            <w:tcW w:w="1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Yif Liu</w:t>
            </w:r>
          </w:p>
        </w:tc>
      </w:tr>
      <w:tr>
        <w:trPr/>
        <w:tc>
          <w:tcPr>
            <w:tcW w:w="75" w:type="dxa"/>
            <w:tcBorders/>
            <w:vAlign w:val="center"/>
          </w:tcPr>
          <w:p>
            <w:pPr>
              <w:pStyle w:val="TableContents"/>
              <w:bidi w:val="0"/>
              <w:spacing w:before="0" w:after="283"/>
              <w:jc w:val="both"/>
              <w:rPr/>
            </w:pPr>
            <w:r>
              <w:rPr/>
              <w:t> </w:t>
            </w:r>
          </w:p>
        </w:tc>
        <w:tc>
          <w:tcPr>
            <w:tcW w:w="611" w:type="dxa"/>
            <w:tcBorders/>
            <w:vAlign w:val="center"/>
          </w:tcPr>
          <w:p>
            <w:pPr>
              <w:pStyle w:val="TableContents"/>
              <w:bidi w:val="0"/>
              <w:spacing w:before="0" w:after="283"/>
              <w:jc w:val="both"/>
              <w:rPr/>
            </w:pPr>
            <w:r>
              <w:rPr/>
              <w:t> </w:t>
            </w:r>
          </w:p>
        </w:tc>
        <w:tc>
          <w:tcPr>
            <w:tcW w:w="1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w:t>
            </w:r>
          </w:p>
        </w:tc>
      </w:tr>
    </w:tbl>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860"/>
      </w:tblGrid>
      <w:tr>
        <w:trPr/>
        <w:tc>
          <w:tcPr>
            <w:tcW w:w="75" w:type="dxa"/>
            <w:tcBorders/>
            <w:vAlign w:val="center"/>
          </w:tcPr>
          <w:p>
            <w:pPr>
              <w:pStyle w:val="TableContents"/>
              <w:bidi w:val="0"/>
              <w:spacing w:before="0" w:after="283"/>
              <w:jc w:val="both"/>
              <w:rPr/>
            </w:pPr>
            <w:r>
              <w:rPr/>
              <w:t> </w:t>
            </w:r>
          </w:p>
        </w:tc>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Yif Liu</w:t>
            </w:r>
          </w:p>
        </w:tc>
      </w:tr>
      <w:tr>
        <w:trPr/>
        <w:tc>
          <w:tcPr>
            <w:tcW w:w="75" w:type="dxa"/>
            <w:tcBorders/>
            <w:vAlign w:val="center"/>
          </w:tcPr>
          <w:p>
            <w:pPr>
              <w:pStyle w:val="TableContents"/>
              <w:bidi w:val="0"/>
              <w:spacing w:before="0" w:after="283"/>
              <w:jc w:val="both"/>
              <w:rPr/>
            </w:pPr>
            <w:r>
              <w:rPr/>
              <w:t> </w:t>
            </w:r>
          </w:p>
        </w:tc>
        <w:tc>
          <w:tcPr>
            <w:tcW w:w="8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8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Yif Liu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30857401ex-2.htm"/>
      <w:bookmarkStart w:id="21" w:name="ksea030857401ex2"/>
      <w:bookmarkEnd w:id="20"/>
      <w:bookmarkEnd w:id="21"/>
      <w:r>
        <w:rPr>
          <w:rFonts w:ascii="Times New Roman;Times;Serif" w:hAnsi="Times New Roman;Times;Serif"/>
          <w:b/>
          <w:i w:val="false"/>
          <w:caps w:val="false"/>
          <w:smallCaps w:val="false"/>
          <w:sz w:val="20"/>
        </w:rPr>
        <w:t>Exhibit 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YS MANAGEMENT COMPANY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business address, present principal employment and citizenship of the sole director of YS Management Company Limited are set forth below.</w:t>
      </w:r>
    </w:p>
    <w:p>
      <w:pPr>
        <w:pStyle w:val="TextBody"/>
        <w:bidi w:val="0"/>
        <w:spacing w:before="0" w:after="0"/>
        <w:ind w:left="0" w:right="0" w:hanging="0"/>
        <w:jc w:val="both"/>
        <w:rPr>
          <w:caps w:val="false"/>
          <w:smallCaps w:val="false"/>
        </w:rPr>
      </w:pPr>
      <w:r>
        <w:rPr>
          <w:caps w:val="false"/>
          <w:smallCaps w:val="false"/>
        </w:rPr>
        <w:t> </w:t>
      </w:r>
    </w:p>
    <w:tbl>
      <w:tblPr>
        <w:tblW w:w="9605" w:type="dxa"/>
        <w:jc w:val="left"/>
        <w:tblInd w:w="0" w:type="dxa"/>
        <w:tblLayout w:type="fixed"/>
        <w:tblCellMar>
          <w:top w:w="0" w:type="dxa"/>
          <w:left w:w="0" w:type="dxa"/>
          <w:bottom w:w="28" w:type="dxa"/>
          <w:right w:w="0" w:type="dxa"/>
        </w:tblCellMar>
      </w:tblPr>
      <w:tblGrid>
        <w:gridCol w:w="530"/>
        <w:gridCol w:w="60"/>
        <w:gridCol w:w="3725"/>
        <w:gridCol w:w="60"/>
        <w:gridCol w:w="3815"/>
        <w:gridCol w:w="60"/>
        <w:gridCol w:w="1355"/>
      </w:tblGrid>
      <w:tr>
        <w:trPr/>
        <w:tc>
          <w:tcPr>
            <w:tcW w:w="5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center"/>
              <w:rPr/>
            </w:pPr>
            <w:r>
              <w:rPr/>
              <w:t> </w:t>
            </w:r>
          </w:p>
        </w:tc>
        <w:tc>
          <w:tcPr>
            <w:tcW w:w="37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Business Address</w:t>
            </w:r>
          </w:p>
        </w:tc>
        <w:tc>
          <w:tcPr>
            <w:tcW w:w="60" w:type="dxa"/>
            <w:tcBorders/>
            <w:tcMar>
              <w:bottom w:w="0" w:type="dxa"/>
            </w:tcMar>
            <w:vAlign w:val="center"/>
          </w:tcPr>
          <w:p>
            <w:pPr>
              <w:pStyle w:val="TableContents"/>
              <w:bidi w:val="0"/>
              <w:spacing w:before="0" w:after="283"/>
              <w:jc w:val="center"/>
              <w:rPr/>
            </w:pPr>
            <w:r>
              <w:rPr/>
              <w:t> </w:t>
            </w:r>
          </w:p>
        </w:tc>
        <w:tc>
          <w:tcPr>
            <w:tcW w:w="38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Present Principal </w:t>
              <w:br/>
              <w:t>Employment</w:t>
            </w:r>
          </w:p>
        </w:tc>
        <w:tc>
          <w:tcPr>
            <w:tcW w:w="60" w:type="dxa"/>
            <w:tcBorders/>
            <w:tcMar>
              <w:bottom w:w="0" w:type="dxa"/>
            </w:tcMar>
            <w:vAlign w:val="center"/>
          </w:tcPr>
          <w:p>
            <w:pPr>
              <w:pStyle w:val="TableContents"/>
              <w:bidi w:val="0"/>
              <w:spacing w:before="0" w:after="283"/>
              <w:jc w:val="center"/>
              <w:rPr/>
            </w:pPr>
            <w:r>
              <w:rPr/>
              <w:t> </w:t>
            </w:r>
          </w:p>
        </w:tc>
        <w:tc>
          <w:tcPr>
            <w:tcW w:w="13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Yif</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 Lower Kent Ridge Road, Singapore 11837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of YS Management Company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Republic of</w:t>
              <w:br/>
              <w:t>Guinea-Bissau</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YS Management Company Limited is 100% owned by Yif Liu. Yif Liu is the sole director of YS Management Company Limited. (See above for the information on Yif Liu.)</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1943</Words>
  <Characters>9949</Characters>
  <CharactersWithSpaces>11824</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