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9273-6k_aifu.htm"/>
      <w:bookmarkStart w:id="1" w:name="ksea03092736k_aifu"/>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001-33768</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01, Building 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br/>
        <w:t>Shenzhen, 518055</w:t>
        <w:b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Transaction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AIFU Inc. (the “Company”) entered into a transaction agreement (the “ Agreement”) with Sunrise Capital Partners Ltd., Ballet Holding Ltd, Timer Management Limited and Modern Holding Ltd (“Modern”) (collectively, the “Sellers”), to acquire 100% of the equity interests of Waltz Investment Holding Ltd. (the “Waltz Investment”), which in turn, indirectly owns 99% of the equity interests in Shenzhen Waltz New Material Applied Technology Co., Ltd. (“Shenzhen Waltz”) and its wholly-owned subsidiaries (collectively the “Waltz Group”) (the “Transaction”). The Waltz Group is an established provider of functional film application and development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Company agreed to acquire 100% of the equity interests of Waltz Investment for aggregate consideration consisting of (i) 11,203,443 Class A ordinary shares of the Company, par value US$0.002 per share (the “Consideration Shares”), at an issue price of US$3.0 per share, and (ii) US$11,000,000 in cash, payable to Modern within 365 days following the closing of the Transaction (the “Closing”) . The aggregate consideration is valued at approximately RMB300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Established in 2006, Shenzhen Waltz, the </w:t>
      </w:r>
      <w:r>
        <w:rPr>
          <w:rFonts w:ascii="Times New Roman;Times;Serif" w:hAnsi="Times New Roman;Times;Serif"/>
          <w:b w:val="false"/>
          <w:i w:val="false"/>
          <w:caps w:val="false"/>
          <w:smallCaps w:val="false"/>
          <w:color w:val="0F1115"/>
          <w:sz w:val="20"/>
        </w:rPr>
        <w:t>principal operating entity</w:t>
      </w:r>
      <w:r>
        <w:rPr>
          <w:rFonts w:ascii="Times New Roman;Times;Serif" w:hAnsi="Times New Roman;Times;Serif"/>
          <w:b w:val="false"/>
          <w:i w:val="false"/>
          <w:caps w:val="false"/>
          <w:smallCaps w:val="false"/>
          <w:sz w:val="20"/>
        </w:rPr>
        <w:t xml:space="preserve"> of the Waltz Group, is a high-tech enterprise specializing in the coating, processing and application of functional optical films. Leveraging its film coating and processing capabilities, Shenzhen Waltz provides customized functional film products and related technical services to customers in sectors including new energy vehicles, consumer electronics and intelligent cockpits.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represents an expansion of the Company’s business portfolio into the functional film industry, diversifying its business beyond its insurance brokerage operations. Following the Closing, the Company intends to explore the application of data analytics and artificial intelligence tools to the Waltz Group’s research and development, product design, quality control and production management processes, with the aim of enhancing product development and operational efficiency. The implementation of these initiatives remains subject to further assessment, and there can be no assurance that they will be implemented or achieve the intended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is expected to occur on or before the end of November 2026, subject to satisfaction or waiver of the other closing conditions set forth in the Agreement. There can be no assurance that the closing conditions will be satisfied or waived or that the transaction will be completed by that date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Sellers are expected to hold, in the aggregate, approximately 15.48% of the Company’s total issued and outstanding shares and approximately 1.03% of the Company’s total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subject to certain customary exceptions, each Seller has agreed not to transfer or otherwise dispose of any Consideration Shares held by such Seller for a period of 60 months following the Closing. The Consideration Shares will be issued in a private transaction exempt from registration under the Securities Act of 1933, as amended, in reliance on Section 4(a)(2) thereof and/or Regulation S promulgated thereunder, and will be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Agreement does not purport to be complete and is qualified in its entirety by reference to the full text of the Transaction Agreement, which is filed as Exhibit 10.1 to this Current Report on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Current Report on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333-296229), and shall be a part thereof from the date on which this report is furnished,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8"/>
        <w:gridCol w:w="60"/>
        <w:gridCol w:w="9267"/>
      </w:tblGrid>
      <w:tr>
        <w:trPr/>
        <w:tc>
          <w:tcPr>
            <w:tcW w:w="878"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CCEEFF" w:val="clear"/>
            <w:tcMar>
              <w:bottom w:w="0" w:type="dxa"/>
            </w:tcMar>
            <w:vAlign w:val="center"/>
          </w:tcPr>
          <w:p>
            <w:pPr>
              <w:pStyle w:val="TableContents"/>
              <w:bidi w:val="0"/>
              <w:spacing w:before="0" w:after="283"/>
              <w:jc w:val="left"/>
              <w:rPr/>
            </w:pPr>
            <w:hyperlink w:anchor="ea030927301ex99-1.htm">
              <w:r>
                <w:rPr>
                  <w:rStyle w:val="InternetLink"/>
                  <w:rFonts w:ascii="Times New Roman;Times;Serif" w:hAnsi="Times New Roman;Times;Serif"/>
                  <w:b w:val="false"/>
                  <w:i w:val="false"/>
                  <w:caps w:val="false"/>
                  <w:smallCaps w:val="false"/>
                  <w:sz w:val="20"/>
                </w:rPr>
                <w:t>Press Release</w:t>
              </w:r>
            </w:hyperlink>
          </w:p>
        </w:tc>
      </w:tr>
      <w:tr>
        <w:trPr/>
        <w:tc>
          <w:tcPr>
            <w:tcW w:w="8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FFFFFF" w:val="clear"/>
            <w:tcMar>
              <w:bottom w:w="0" w:type="dxa"/>
            </w:tcMar>
            <w:vAlign w:val="center"/>
          </w:tcPr>
          <w:p>
            <w:pPr>
              <w:pStyle w:val="TableContents"/>
              <w:bidi w:val="0"/>
              <w:spacing w:before="0" w:after="283"/>
              <w:jc w:val="both"/>
              <w:rPr/>
            </w:pPr>
            <w:hyperlink w:anchor="ea030927301ex99-2.htm">
              <w:r>
                <w:rPr>
                  <w:rStyle w:val="InternetLink"/>
                  <w:rFonts w:ascii="Times New Roman;Times;Serif" w:hAnsi="Times New Roman;Times;Serif"/>
                  <w:b w:val="false"/>
                  <w:i w:val="false"/>
                  <w:caps w:val="false"/>
                  <w:smallCaps w:val="false"/>
                  <w:sz w:val="20"/>
                </w:rPr>
                <w:t>Form of Transaction Agreement by and Among AIFU Inc. and Sunrise Capital Partners Ltd., Ballet Holding Ltd., Timber Management Limited and Modern Holding Ltd. dated as of October 21,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95"/>
        <w:gridCol w:w="545"/>
        <w:gridCol w:w="1955"/>
      </w:tblGrid>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Mingxiu Luan</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Mingxiu Luan</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27301ex99-1.htm"/>
      <w:bookmarkStart w:id="3" w:name="ksea030927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To Acquire Shenzhen Waltz New Material, Expanding Its Presence in the High-Tech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China, October 21, 2026 (GLOBE NEWSWIRE) — AIFU Inc. (Nasdaq: AIFU) (“AIFU” or the “Company”), a leading AI-driven independent financial services platform in China, today announced that it has entered into a transaction agreement (the “Transaction Agreement”) with Sunrise Capital Partners Ltd., Ballet Holding Ltd., Timber Management Limited, and Modern Holding Ltd. (collectively, the “Sellers”) to acquire 100% of the equity interests in Waltz Investment Holding Ltd. (the “Target Company”). The Target Company indirectly holds 99% of the equity interests in Shenzhen Waltz New Material Applied Technology Co., Ltd. (“Shenzhen Waltz”) (the “Transaction”). The Transaction values the Target Company at approximately US$44.61 million, equivalent to approximately RMB300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Transaction Agreement, the total consideration for the Transaction will comprise: (i) the issuance of 11,203,443 Class A ordinary shares of AIFU (the “Consideration Shares”) at an issue price of US$3.00 per share, representing aggregate share consideration of approximately US$33.61 million; and (ii) US$11 million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on or before the end of November 2026, subject to the satisfaction or waiver of the closing conditions set forth in the Transaction Agreement. Upon completion of the transaction, the Sellers are expected to hold, in the aggregate, approximately 15.48% of AIFU’s total issued and outstanding shares, representing approximately 1.03% of the Company’s total voting power. The Consideration Shares will be subject to a lock-up period of 60 months,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2006 and headquartered in Shenzhen, China, Shenzhen Waltz is a high-tech enterprise specializing in the coating, processing, and application of functional optical films. Leveraging its expertise in functional film coating, film lamination, and application-specific forming and fitting, the Company provides customized functional film products and related technical services to customers in new energy vehicle, smart cockpits, and consumer electronics industries. Shenzhen Waltz has been recognized as a National High-Tech Enterprise by the Chinese government and as a “Specialized, Refined, Distinctive, and Innovative” Enterprise by the Shenzhen Municipal government. The company holds 17 patents and serves approximately 280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Mingxiu Luan, Chief Executive Officer of AIFU, commented, “Shenzhen Waltz has established deep technical expertise, a mature product portfolio, and a broad customer base in the functional optical films industry. This acquisition will further expand AIFU’s presence in the high-tech sector and create new growth opportunities for the Company. Looking ahead, we intend to explore opportunities to leverage AIFU’s technologies and resources in artificial intelligence and digitalization to support Shenzhen Waltz in advancing its research and development capabilities and operational efficiency, driving its long-term business growth, and creating sustainable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AIFU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1998, AIFU Inc. (Nasdaq: AIFU) is a leading AI-driven independent financial services platform in China. Through strategic partnerships and deep integration across the value chain, AIFU has created a comprehensive ecosystem that connects various financial institutions, service providers, agents, and independent insurance intermediaries.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this ecosystem, the company delivers comprehensive support and tailored solutions for individual agents and insurance intermediary organizations. By harnessing the power of AI, the Company enables precise matching of customer needs, enhances business development efficiency, and offers personalized, full-lifecycle insurance protection and value-added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through its proprietary AI, big data analytics, and robotic automation platforms, the Company offers a full spectrum of services including automated underwriting, claims processing, risk management, intelligent customer engagement, smart marketing and client education, as well as compliance and security solutions. These advanced capabilities substantially improve intermediaries’ operational efficiency, empower partners to expand market presence, and enable more seamless personalized experiences for end customers.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These statements, including the statements relating to the Company’s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These forward-looking statements involve known and unknown risks and uncertainties and are based on current expectations, assumptions, estimates and projections about AIFU Inc. and the industry. Potential risks and uncertainties include, but are not limited to, those relating to its ability to attract and retain productive agents, especially entrepreneurial agents, its ability to maintain existing and develop new business relationships with insurance companies, its ability to execute its growth strategy, its ability to adapt to the evolving regulatory environment in the Chinese insurance industry, its ability to compete effectively against its competitors, quarterly variations in its operating results caused by factors beyond its control including macroeconomic conditions in China. Except as otherwise indicated, all information provided in this press release speaks as of the date hereof, and AIFU Inc. undertakes no obligation to update any forward-looking statements to reflect subsequent occurring events or circumstances, or changes in its expectations, except as may be required by law. Although AIFU Inc.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AIFU Inc. is included in AIFU Inc.’s filings with the U.S. Securities and Exchange Commission, including its annual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ir@aifugroup.com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i w:val="false"/>
          <w:caps w:val="false"/>
          <w:smallCaps w:val="false"/>
          <w:sz w:val="20"/>
        </w:rPr>
      </w:pPr>
      <w:bookmarkStart w:id="4" w:name="ea030927301ex99-2.htm"/>
      <w:bookmarkStart w:id="5" w:name="ksea0309273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SUNRISE CAPITAL PARTNERS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BALLET HOLDING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TIMBER MANAGEMENT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MODERN HOLDING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PARTIES NAMED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rPr>
      </w:pPr>
      <w:r>
        <w:rPr>
          <w:caps/>
        </w:rPr>
        <w:t> </w:t>
      </w:r>
    </w:p>
    <w:tbl>
      <w:tblPr>
        <w:tblW w:w="8320" w:type="dxa"/>
        <w:jc w:val="left"/>
        <w:tblInd w:w="0" w:type="dxa"/>
        <w:tblLayout w:type="fixed"/>
        <w:tblCellMar>
          <w:top w:w="0" w:type="dxa"/>
          <w:left w:w="0" w:type="dxa"/>
          <w:bottom w:w="0" w:type="dxa"/>
          <w:right w:w="0" w:type="dxa"/>
        </w:tblCellMar>
      </w:tblPr>
      <w:tblGrid>
        <w:gridCol w:w="7790"/>
        <w:gridCol w:w="530"/>
      </w:tblGrid>
      <w:tr>
        <w:trPr/>
        <w:tc>
          <w:tcPr>
            <w:tcW w:w="7790" w:type="dxa"/>
            <w:tcBorders/>
            <w:vAlign w:val="center"/>
          </w:tcPr>
          <w:p>
            <w:pPr>
              <w:pStyle w:val="TableContents"/>
              <w:bidi w:val="0"/>
              <w:spacing w:before="0" w:after="283"/>
              <w:jc w:val="left"/>
              <w:rPr>
                <w:caps/>
              </w:rPr>
            </w:pPr>
            <w:r>
              <w:rPr>
                <w:caps/>
              </w:rPr>
              <w:t xml:space="preserve">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smallCaps/>
                <w:sz w:val="20"/>
              </w:rPr>
              <w:t>Page</w:t>
            </w:r>
            <w:r>
              <w:rPr>
                <w:rFonts w:ascii="Times New Roman;Times;Serif" w:hAnsi="Times New Roman;Times;Serif"/>
                <w:b/>
                <w:i w:val="false"/>
                <w:caps/>
                <w:sz w:val="20"/>
              </w:rPr>
              <w:t xml:space="preserve">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RECITALS</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2</w:t>
            </w:r>
          </w:p>
        </w:tc>
      </w:tr>
      <w:tr>
        <w:trPr/>
        <w:tc>
          <w:tcPr>
            <w:tcW w:w="7790" w:type="dxa"/>
            <w:tcBorders/>
            <w:shd w:fill="FFFFFF" w:val="clear"/>
            <w:vAlign w:val="center"/>
          </w:tcPr>
          <w:p>
            <w:pPr>
              <w:pStyle w:val="TableContents"/>
              <w:bidi w:val="0"/>
              <w:spacing w:before="0" w:after="283"/>
              <w:jc w:val="left"/>
              <w:rPr>
                <w:caps/>
              </w:rPr>
            </w:pPr>
            <w:r>
              <w:rPr>
                <w:caps/>
              </w:rPr>
              <w:t> </w:t>
            </w:r>
          </w:p>
        </w:tc>
        <w:tc>
          <w:tcPr>
            <w:tcW w:w="530" w:type="dxa"/>
            <w:tcBorders/>
            <w:shd w:fill="FFFFFF" w:val="clear"/>
            <w:vAlign w:val="center"/>
          </w:tcPr>
          <w:p>
            <w:pPr>
              <w:pStyle w:val="TableContents"/>
              <w:bidi w:val="0"/>
              <w:spacing w:before="0" w:after="283"/>
              <w:jc w:val="center"/>
              <w:rPr>
                <w:caps/>
              </w:rPr>
            </w:pPr>
            <w:r>
              <w:rPr>
                <w:caps/>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1 Definitions and Interpretation</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3</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Definitions.</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i/>
                <w:caps w:val="false"/>
                <w:smallCaps w:val="false"/>
                <w:sz w:val="20"/>
              </w:rPr>
              <w:t>Interpretation</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r>
      <w:tr>
        <w:trPr/>
        <w:tc>
          <w:tcPr>
            <w:tcW w:w="7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2 Consideration</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8</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2.1. Share Transfer and Share Issuance</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caps w:val="false"/>
                <w:smallCaps w:val="false"/>
                <w:sz w:val="20"/>
              </w:rPr>
              <w:t>Closing.</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r>
      <w:tr>
        <w:trPr/>
        <w:tc>
          <w:tcPr>
            <w:tcW w:w="7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3 Representations and Warranties of the Buyer</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10</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caps w:val="false"/>
                <w:smallCaps w:val="false"/>
                <w:sz w:val="20"/>
              </w:rPr>
              <w:t>Accuracy of Disclosure</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caps w:val="false"/>
                <w:smallCaps w:val="false"/>
                <w:sz w:val="20"/>
              </w:rPr>
              <w:t>Existence and Power</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caps w:val="false"/>
                <w:smallCaps w:val="false"/>
                <w:sz w:val="20"/>
              </w:rPr>
              <w:t>Authorization; Due Execution</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caps w:val="false"/>
                <w:smallCaps w:val="false"/>
                <w:sz w:val="20"/>
              </w:rPr>
              <w:t>No Conflicts</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3.5. </w:t>
            </w:r>
            <w:r>
              <w:rPr>
                <w:rFonts w:ascii="Times New Roman;Times;Serif" w:hAnsi="Times New Roman;Times;Serif"/>
                <w:b/>
                <w:i/>
                <w:caps w:val="false"/>
                <w:smallCaps w:val="false"/>
                <w:sz w:val="20"/>
              </w:rPr>
              <w:t>Capitalization.</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3.6. </w:t>
            </w:r>
            <w:r>
              <w:rPr>
                <w:rFonts w:ascii="Times New Roman;Times;Serif" w:hAnsi="Times New Roman;Times;Serif"/>
                <w:b/>
                <w:i/>
                <w:caps w:val="false"/>
                <w:smallCaps w:val="false"/>
                <w:sz w:val="20"/>
              </w:rPr>
              <w:t>Subsidiaries</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3.7. </w:t>
            </w:r>
            <w:r>
              <w:rPr>
                <w:rFonts w:ascii="Times New Roman;Times;Serif" w:hAnsi="Times New Roman;Times;Serif"/>
                <w:b/>
                <w:i/>
                <w:caps w:val="false"/>
                <w:smallCaps w:val="false"/>
                <w:sz w:val="20"/>
              </w:rPr>
              <w:t>Compliance with Laws</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3.8. </w:t>
            </w:r>
            <w:r>
              <w:rPr>
                <w:rFonts w:ascii="Times New Roman;Times;Serif" w:hAnsi="Times New Roman;Times;Serif"/>
                <w:b/>
                <w:i/>
                <w:caps w:val="false"/>
                <w:smallCaps w:val="false"/>
                <w:sz w:val="20"/>
              </w:rPr>
              <w:t>Governmental Approvals</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3.9. </w:t>
            </w:r>
            <w:r>
              <w:rPr>
                <w:rFonts w:ascii="Times New Roman;Times;Serif" w:hAnsi="Times New Roman;Times;Serif"/>
                <w:b/>
                <w:i/>
                <w:caps w:val="false"/>
                <w:smallCaps w:val="false"/>
                <w:sz w:val="20"/>
              </w:rPr>
              <w:t>Financial Matters.</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3.10. </w:t>
            </w:r>
            <w:r>
              <w:rPr>
                <w:rFonts w:ascii="Times New Roman;Times;Serif" w:hAnsi="Times New Roman;Times;Serif"/>
                <w:b/>
                <w:i/>
                <w:caps w:val="false"/>
                <w:smallCaps w:val="false"/>
                <w:sz w:val="20"/>
              </w:rPr>
              <w:t>Operations</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3.11. </w:t>
            </w:r>
            <w:r>
              <w:rPr>
                <w:rFonts w:ascii="Times New Roman;Times;Serif" w:hAnsi="Times New Roman;Times;Serif"/>
                <w:b/>
                <w:i/>
                <w:caps w:val="false"/>
                <w:smallCaps w:val="false"/>
                <w:sz w:val="20"/>
              </w:rPr>
              <w:t>Absence of Certain Changes</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3.12. </w:t>
            </w:r>
            <w:r>
              <w:rPr>
                <w:rFonts w:ascii="Times New Roman;Times;Serif" w:hAnsi="Times New Roman;Times;Serif"/>
                <w:b/>
                <w:i/>
                <w:caps w:val="false"/>
                <w:smallCaps w:val="false"/>
                <w:sz w:val="20"/>
              </w:rPr>
              <w:t>Litigation</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3.13. </w:t>
            </w:r>
            <w:r>
              <w:rPr>
                <w:rFonts w:ascii="Times New Roman;Times;Serif" w:hAnsi="Times New Roman;Times;Serif"/>
                <w:b/>
                <w:i/>
                <w:caps w:val="false"/>
                <w:smallCaps w:val="false"/>
                <w:sz w:val="20"/>
              </w:rPr>
              <w:t>Bankruptcy</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3.14. </w:t>
            </w:r>
            <w:r>
              <w:rPr>
                <w:rFonts w:ascii="Times New Roman;Times;Serif" w:hAnsi="Times New Roman;Times;Serif"/>
                <w:b/>
                <w:i/>
                <w:caps w:val="false"/>
                <w:smallCaps w:val="false"/>
                <w:sz w:val="20"/>
              </w:rPr>
              <w:t>Brokers’ Fees.</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3.15. </w:t>
            </w:r>
            <w:r>
              <w:rPr>
                <w:rFonts w:ascii="Times New Roman;Times;Serif" w:hAnsi="Times New Roman;Times;Serif"/>
                <w:b/>
                <w:i/>
                <w:caps w:val="false"/>
                <w:smallCaps w:val="false"/>
                <w:sz w:val="20"/>
              </w:rPr>
              <w:t>No Buyer Material Adverse Effect</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3.16. </w:t>
            </w:r>
            <w:r>
              <w:rPr>
                <w:rFonts w:ascii="Times New Roman;Times;Serif" w:hAnsi="Times New Roman;Times;Serif"/>
                <w:b/>
                <w:i/>
                <w:caps w:val="false"/>
                <w:smallCaps w:val="false"/>
                <w:sz w:val="20"/>
              </w:rPr>
              <w:t>Independent Investigation</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7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4 Representations and Warranties of the Sellers</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14</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caps w:val="false"/>
                <w:smallCaps w:val="false"/>
                <w:sz w:val="20"/>
              </w:rPr>
              <w:t>Existence and Power</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caps w:val="false"/>
                <w:smallCaps w:val="false"/>
                <w:sz w:val="20"/>
              </w:rPr>
              <w:t>Authorization; Due Execution</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caps w:val="false"/>
                <w:smallCaps w:val="false"/>
                <w:sz w:val="20"/>
              </w:rPr>
              <w:t>No Conflicts</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caps w:val="false"/>
                <w:smallCaps w:val="false"/>
                <w:sz w:val="20"/>
              </w:rPr>
              <w:t>Capitalization.</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4.5. Subsidiaries.</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4.6. </w:t>
            </w:r>
            <w:r>
              <w:rPr>
                <w:rFonts w:ascii="Times New Roman;Times;Serif" w:hAnsi="Times New Roman;Times;Serif"/>
                <w:b/>
                <w:i/>
                <w:caps w:val="false"/>
                <w:smallCaps w:val="false"/>
                <w:sz w:val="20"/>
              </w:rPr>
              <w:t>Compliance with Laws</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caps w:val="false"/>
                <w:smallCaps w:val="false"/>
                <w:sz w:val="20"/>
              </w:rPr>
              <w:t>Governmental Approvals</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4.8. </w:t>
            </w:r>
            <w:r>
              <w:rPr>
                <w:rFonts w:ascii="Times New Roman;Times;Serif" w:hAnsi="Times New Roman;Times;Serif"/>
                <w:b/>
                <w:i/>
                <w:caps w:val="false"/>
                <w:smallCaps w:val="false"/>
                <w:sz w:val="20"/>
              </w:rPr>
              <w:t>Financial Matters.</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4.9. </w:t>
            </w:r>
            <w:r>
              <w:rPr>
                <w:rFonts w:ascii="Times New Roman;Times;Serif" w:hAnsi="Times New Roman;Times;Serif"/>
                <w:b/>
                <w:i/>
                <w:caps w:val="false"/>
                <w:smallCaps w:val="false"/>
                <w:sz w:val="20"/>
              </w:rPr>
              <w:t>Operations</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caps w:val="false"/>
                <w:smallCaps w:val="false"/>
                <w:sz w:val="20"/>
              </w:rPr>
              <w:t>Absence of Certain Changes</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caps w:val="false"/>
                <w:smallCaps w:val="false"/>
                <w:sz w:val="20"/>
              </w:rPr>
              <w:t>Litigation</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caps w:val="false"/>
                <w:smallCaps w:val="false"/>
                <w:sz w:val="20"/>
              </w:rPr>
              <w:t>Bankruptcy</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i/>
                <w:caps w:val="false"/>
                <w:smallCaps w:val="false"/>
                <w:sz w:val="20"/>
              </w:rPr>
              <w:t>Brokers’ Fees.</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4.14. </w:t>
            </w:r>
            <w:r>
              <w:rPr>
                <w:rFonts w:ascii="Times New Roman;Times;Serif" w:hAnsi="Times New Roman;Times;Serif"/>
                <w:b/>
                <w:i/>
                <w:caps w:val="false"/>
                <w:smallCaps w:val="false"/>
                <w:sz w:val="20"/>
              </w:rPr>
              <w:t>No Target Co. Material Adverse Effect</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4.15. </w:t>
            </w:r>
            <w:r>
              <w:rPr>
                <w:rFonts w:ascii="Times New Roman;Times;Serif" w:hAnsi="Times New Roman;Times;Serif"/>
                <w:b/>
                <w:i/>
                <w:caps w:val="false"/>
                <w:smallCaps w:val="false"/>
                <w:sz w:val="20"/>
              </w:rPr>
              <w:t>Independent Investigation</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77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5 Conditions</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18</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caps w:val="false"/>
                <w:smallCaps w:val="false"/>
                <w:sz w:val="20"/>
              </w:rPr>
              <w:t>Conditions to the Obligation of the Sellers and the Buyer to Consummate Closing</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caps w:val="false"/>
                <w:smallCaps w:val="false"/>
                <w:sz w:val="20"/>
              </w:rPr>
              <w:t>Other Conditions to the Obligation of the Sellers to Consummate the Closing</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caps w:val="false"/>
                <w:smallCaps w:val="false"/>
                <w:sz w:val="20"/>
              </w:rPr>
              <w:t>Other Conditions to the Obligation of the Buyer to Consummate the Closing</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7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6 Covenants</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20</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caps w:val="false"/>
                <w:smallCaps w:val="false"/>
                <w:sz w:val="20"/>
              </w:rPr>
              <w:t>Conduct of Business Pending the Closing</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caps w:val="false"/>
                <w:smallCaps w:val="false"/>
                <w:sz w:val="20"/>
              </w:rPr>
              <w:t>Notification</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6.3. </w:t>
            </w:r>
            <w:r>
              <w:rPr>
                <w:rFonts w:ascii="Times New Roman;Times;Serif" w:hAnsi="Times New Roman;Times;Serif"/>
                <w:b/>
                <w:i/>
                <w:caps w:val="false"/>
                <w:smallCaps w:val="false"/>
                <w:sz w:val="20"/>
              </w:rPr>
              <w:t>Required Consents; Communications with Governmental Authorities.</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6.4. </w:t>
            </w:r>
            <w:r>
              <w:rPr>
                <w:rFonts w:ascii="Times New Roman;Times;Serif" w:hAnsi="Times New Roman;Times;Serif"/>
                <w:b/>
                <w:i/>
                <w:caps w:val="false"/>
                <w:smallCaps w:val="false"/>
                <w:sz w:val="20"/>
              </w:rPr>
              <w:t>Confidentiality</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6.5. </w:t>
            </w:r>
            <w:r>
              <w:rPr>
                <w:rFonts w:ascii="Times New Roman;Times;Serif" w:hAnsi="Times New Roman;Times;Serif"/>
                <w:b/>
                <w:i/>
                <w:caps w:val="false"/>
                <w:smallCaps w:val="false"/>
                <w:sz w:val="20"/>
              </w:rPr>
              <w:t>Further Assurances</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6.6. </w:t>
            </w:r>
            <w:r>
              <w:rPr>
                <w:rFonts w:ascii="Times New Roman;Times;Serif" w:hAnsi="Times New Roman;Times;Serif"/>
                <w:b/>
                <w:i/>
                <w:caps w:val="false"/>
                <w:smallCaps w:val="false"/>
                <w:sz w:val="20"/>
              </w:rPr>
              <w:t>Public Announcements.</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r>
      <w:tr>
        <w:trPr/>
        <w:tc>
          <w:tcPr>
            <w:tcW w:w="7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6.7. </w:t>
            </w:r>
            <w:r>
              <w:rPr>
                <w:rFonts w:ascii="Times New Roman;Times;Serif" w:hAnsi="Times New Roman;Times;Serif"/>
                <w:b/>
                <w:i/>
                <w:caps w:val="false"/>
                <w:smallCaps w:val="false"/>
                <w:sz w:val="20"/>
              </w:rPr>
              <w:t>Tax</w:t>
            </w:r>
            <w:r>
              <w:rPr>
                <w:rFonts w:ascii="Times New Roman;Times;Serif" w:hAnsi="Times New Roman;Times;Serif"/>
                <w:b/>
                <w:i w:val="false"/>
                <w:caps w:val="false"/>
                <w:smallCaps w:val="false"/>
                <w:sz w:val="20"/>
              </w:rPr>
              <w:t>.</w:t>
            </w:r>
          </w:p>
        </w:tc>
        <w:tc>
          <w:tcPr>
            <w:tcW w:w="53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r>
        <w:trPr/>
        <w:tc>
          <w:tcPr>
            <w:tcW w:w="7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6.8. </w:t>
            </w:r>
            <w:r>
              <w:rPr>
                <w:rFonts w:ascii="Times New Roman;Times;Serif" w:hAnsi="Times New Roman;Times;Serif"/>
                <w:b/>
                <w:i/>
                <w:caps w:val="false"/>
                <w:smallCaps w:val="false"/>
                <w:sz w:val="20"/>
              </w:rPr>
              <w:t>Lock-Up</w:t>
            </w:r>
            <w:r>
              <w:rPr>
                <w:rFonts w:ascii="Times New Roman;Times;Serif" w:hAnsi="Times New Roman;Times;Serif"/>
                <w:b/>
                <w:i w:val="false"/>
                <w:caps w:val="false"/>
                <w:smallCaps w:val="false"/>
                <w:sz w:val="20"/>
              </w:rPr>
              <w:t>.</w:t>
            </w:r>
          </w:p>
        </w:tc>
        <w:tc>
          <w:tcPr>
            <w:tcW w:w="53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750" w:type="dxa"/>
        <w:jc w:val="left"/>
        <w:tblInd w:w="0" w:type="dxa"/>
        <w:tblLayout w:type="fixed"/>
        <w:tblCellMar>
          <w:top w:w="0" w:type="dxa"/>
          <w:left w:w="0" w:type="dxa"/>
          <w:bottom w:w="0" w:type="dxa"/>
          <w:right w:w="0" w:type="dxa"/>
        </w:tblCellMar>
      </w:tblPr>
      <w:tblGrid>
        <w:gridCol w:w="4505"/>
        <w:gridCol w:w="245"/>
      </w:tblGrid>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7 Indemnification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23</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caps w:val="false"/>
                <w:smallCaps w:val="false"/>
                <w:sz w:val="20"/>
              </w:rPr>
              <w:t>Survival.</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caps w:val="false"/>
                <w:smallCaps w:val="false"/>
                <w:sz w:val="20"/>
              </w:rPr>
              <w:t>Indemnification by the Buyer</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7.3. </w:t>
            </w:r>
            <w:r>
              <w:rPr>
                <w:rFonts w:ascii="Times New Roman;Times;Serif" w:hAnsi="Times New Roman;Times;Serif"/>
                <w:b/>
                <w:i/>
                <w:caps w:val="false"/>
                <w:smallCaps w:val="false"/>
                <w:sz w:val="20"/>
              </w:rPr>
              <w:t>Limits on Indemnification by the Buyer</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7.4. </w:t>
            </w:r>
            <w:r>
              <w:rPr>
                <w:rFonts w:ascii="Times New Roman;Times;Serif" w:hAnsi="Times New Roman;Times;Serif"/>
                <w:b/>
                <w:i/>
                <w:caps w:val="false"/>
                <w:smallCaps w:val="false"/>
                <w:sz w:val="20"/>
              </w:rPr>
              <w:t>Indemnification by the Sellers</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7.5. </w:t>
            </w:r>
            <w:r>
              <w:rPr>
                <w:rFonts w:ascii="Times New Roman;Times;Serif" w:hAnsi="Times New Roman;Times;Serif"/>
                <w:b/>
                <w:i/>
                <w:caps w:val="false"/>
                <w:smallCaps w:val="false"/>
                <w:sz w:val="20"/>
              </w:rPr>
              <w:t>Limits on Indemnification by the Sellers</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7.6. </w:t>
            </w:r>
            <w:r>
              <w:rPr>
                <w:rFonts w:ascii="Times New Roman;Times;Serif" w:hAnsi="Times New Roman;Times;Serif"/>
                <w:b/>
                <w:i/>
                <w:caps w:val="false"/>
                <w:smallCaps w:val="false"/>
                <w:sz w:val="20"/>
              </w:rPr>
              <w:t>Mitigation.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7.7. </w:t>
            </w:r>
            <w:r>
              <w:rPr>
                <w:rFonts w:ascii="Times New Roman;Times;Serif" w:hAnsi="Times New Roman;Times;Serif"/>
                <w:b/>
                <w:i/>
                <w:caps w:val="false"/>
                <w:smallCaps w:val="false"/>
                <w:sz w:val="20"/>
              </w:rPr>
              <w:t>Sole Remedy; Specific Performance</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7.8. </w:t>
            </w:r>
            <w:r>
              <w:rPr>
                <w:rFonts w:ascii="Times New Roman;Times;Serif" w:hAnsi="Times New Roman;Times;Serif"/>
                <w:b/>
                <w:i/>
                <w:caps w:val="false"/>
                <w:smallCaps w:val="false"/>
                <w:sz w:val="20"/>
              </w:rPr>
              <w:t>Third Party Claims.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8 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27</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8.1. </w:t>
            </w:r>
            <w:r>
              <w:rPr>
                <w:rFonts w:ascii="Times New Roman;Times;Serif" w:hAnsi="Times New Roman;Times;Serif"/>
                <w:b/>
                <w:i/>
                <w:caps w:val="false"/>
                <w:smallCaps w:val="false"/>
                <w:sz w:val="20"/>
              </w:rPr>
              <w:t>Termination Rights</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8.2. </w:t>
            </w:r>
            <w:r>
              <w:rPr>
                <w:rFonts w:ascii="Times New Roman;Times;Serif" w:hAnsi="Times New Roman;Times;Serif"/>
                <w:b/>
                <w:i/>
                <w:caps w:val="false"/>
                <w:smallCaps w:val="false"/>
                <w:sz w:val="20"/>
              </w:rPr>
              <w:t>Effects</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9 Miscellaneous</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28</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9.1. </w:t>
            </w:r>
            <w:r>
              <w:rPr>
                <w:rFonts w:ascii="Times New Roman;Times;Serif" w:hAnsi="Times New Roman;Times;Serif"/>
                <w:b/>
                <w:i/>
                <w:caps w:val="false"/>
                <w:smallCaps w:val="false"/>
                <w:sz w:val="20"/>
              </w:rPr>
              <w:t>Entire Agreement</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9.2. </w:t>
            </w:r>
            <w:r>
              <w:rPr>
                <w:rFonts w:ascii="Times New Roman;Times;Serif" w:hAnsi="Times New Roman;Times;Serif"/>
                <w:b/>
                <w:i/>
                <w:caps w:val="false"/>
                <w:smallCaps w:val="false"/>
                <w:sz w:val="20"/>
              </w:rPr>
              <w:t>Notices</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9.3. </w:t>
            </w:r>
            <w:r>
              <w:rPr>
                <w:rFonts w:ascii="Times New Roman;Times;Serif" w:hAnsi="Times New Roman;Times;Serif"/>
                <w:b/>
                <w:i/>
                <w:caps w:val="false"/>
                <w:smallCaps w:val="false"/>
                <w:sz w:val="20"/>
              </w:rPr>
              <w:t>Amendment; Waiver</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9.4. </w:t>
            </w:r>
            <w:r>
              <w:rPr>
                <w:rFonts w:ascii="Times New Roman;Times;Serif" w:hAnsi="Times New Roman;Times;Serif"/>
                <w:b/>
                <w:i/>
                <w:caps w:val="false"/>
                <w:smallCaps w:val="false"/>
                <w:sz w:val="20"/>
              </w:rPr>
              <w:t>Severability</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9.5. </w:t>
            </w:r>
            <w:r>
              <w:rPr>
                <w:rFonts w:ascii="Times New Roman;Times;Serif" w:hAnsi="Times New Roman;Times;Serif"/>
                <w:b/>
                <w:i/>
                <w:caps w:val="false"/>
                <w:smallCaps w:val="false"/>
                <w:sz w:val="20"/>
              </w:rPr>
              <w:t>Non-assignment</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9.6. </w:t>
            </w:r>
            <w:r>
              <w:rPr>
                <w:rFonts w:ascii="Times New Roman;Times;Serif" w:hAnsi="Times New Roman;Times;Serif"/>
                <w:b/>
                <w:i/>
                <w:caps w:val="false"/>
                <w:smallCaps w:val="false"/>
                <w:sz w:val="20"/>
              </w:rPr>
              <w:t>Governing Law.</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9.7. </w:t>
            </w:r>
            <w:r>
              <w:rPr>
                <w:rFonts w:ascii="Times New Roman;Times;Serif" w:hAnsi="Times New Roman;Times;Serif"/>
                <w:b/>
                <w:i/>
                <w:caps w:val="false"/>
                <w:smallCaps w:val="false"/>
                <w:sz w:val="20"/>
              </w:rPr>
              <w:t>Dispute Resolution.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9.8. </w:t>
            </w:r>
            <w:r>
              <w:rPr>
                <w:rFonts w:ascii="Times New Roman;Times;Serif" w:hAnsi="Times New Roman;Times;Serif"/>
                <w:b/>
                <w:i/>
                <w:caps w:val="false"/>
                <w:smallCaps w:val="false"/>
                <w:sz w:val="20"/>
              </w:rPr>
              <w:t>Performance Pending Dispute Resolution</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9.9. </w:t>
            </w:r>
            <w:r>
              <w:rPr>
                <w:rFonts w:ascii="Times New Roman;Times;Serif" w:hAnsi="Times New Roman;Times;Serif"/>
                <w:b/>
                <w:i/>
                <w:caps w:val="false"/>
                <w:smallCaps w:val="false"/>
                <w:sz w:val="20"/>
              </w:rPr>
              <w:t>Specific Performance</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9.10. </w:t>
            </w:r>
            <w:r>
              <w:rPr>
                <w:rFonts w:ascii="Times New Roman;Times;Serif" w:hAnsi="Times New Roman;Times;Serif"/>
                <w:b/>
                <w:i/>
                <w:caps w:val="false"/>
                <w:smallCaps w:val="false"/>
                <w:sz w:val="20"/>
              </w:rPr>
              <w:t>Counterparts</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9.11. </w:t>
            </w:r>
            <w:r>
              <w:rPr>
                <w:rFonts w:ascii="Times New Roman;Times;Serif" w:hAnsi="Times New Roman;Times;Serif"/>
                <w:b/>
                <w:i/>
                <w:caps w:val="false"/>
                <w:smallCaps w:val="false"/>
                <w:sz w:val="20"/>
              </w:rPr>
              <w:t>Third-Party Beneficiaries</w:t>
            </w:r>
            <w:r>
              <w:rPr>
                <w:rFonts w:ascii="Times New Roman;Times;Serif" w:hAnsi="Times New Roman;Times;Serif"/>
                <w:b/>
                <w:i w:val="false"/>
                <w:caps w:val="false"/>
                <w:smallCaps w:val="false"/>
                <w:sz w:val="20"/>
              </w:rPr>
              <w:t>.</w:t>
            </w:r>
          </w:p>
        </w:tc>
        <w:tc>
          <w:tcPr>
            <w:tcW w:w="2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9.12. </w:t>
            </w:r>
            <w:r>
              <w:rPr>
                <w:rFonts w:ascii="Times New Roman;Times;Serif" w:hAnsi="Times New Roman;Times;Serif"/>
                <w:b/>
                <w:i/>
                <w:caps w:val="false"/>
                <w:smallCaps w:val="false"/>
                <w:sz w:val="20"/>
              </w:rPr>
              <w:t>Expenses</w:t>
            </w:r>
            <w:r>
              <w:rPr>
                <w:rFonts w:ascii="Times New Roman;Times;Serif" w:hAnsi="Times New Roman;Times;Serif"/>
                <w:b/>
                <w:i w:val="false"/>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45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EXHIBIT A INSTRUMENT OF TRANSFER</w:t>
            </w:r>
          </w:p>
        </w:tc>
        <w:tc>
          <w:tcPr>
            <w:tcW w:w="245" w:type="dxa"/>
            <w:tcBorders/>
            <w:shd w:fill="CCEEFF" w:val="clear"/>
            <w:vAlign w:val="center"/>
          </w:tcPr>
          <w:p>
            <w:pPr>
              <w:pStyle w:val="TableContents"/>
              <w:bidi w:val="0"/>
              <w:spacing w:before="0" w:after="283"/>
              <w:jc w:val="center"/>
              <w:rPr>
                <w:caps/>
              </w:rPr>
            </w:pPr>
            <w:r>
              <w:rPr>
                <w:caps/>
              </w:rPr>
              <w:t> </w:t>
            </w:r>
          </w:p>
        </w:tc>
      </w:tr>
      <w:tr>
        <w:trPr/>
        <w:tc>
          <w:tcPr>
            <w:tcW w:w="4505" w:type="dxa"/>
            <w:tcBorders/>
            <w:shd w:fill="FFFFFF" w:val="clear"/>
            <w:vAlign w:val="center"/>
          </w:tcPr>
          <w:p>
            <w:pPr>
              <w:pStyle w:val="TableContents"/>
              <w:bidi w:val="0"/>
              <w:spacing w:before="0" w:after="283"/>
              <w:jc w:val="left"/>
              <w:rPr>
                <w:caps/>
              </w:rPr>
            </w:pPr>
            <w:r>
              <w:rPr>
                <w:caps/>
              </w:rPr>
              <w:t> </w:t>
            </w:r>
          </w:p>
        </w:tc>
        <w:tc>
          <w:tcPr>
            <w:tcW w:w="245" w:type="dxa"/>
            <w:tcBorders/>
            <w:shd w:fill="FFFFFF" w:val="clear"/>
            <w:vAlign w:val="center"/>
          </w:tcPr>
          <w:p>
            <w:pPr>
              <w:pStyle w:val="TableContents"/>
              <w:bidi w:val="0"/>
              <w:spacing w:before="0" w:after="283"/>
              <w:jc w:val="center"/>
              <w:rPr>
                <w:caps/>
              </w:rPr>
            </w:pPr>
            <w:r>
              <w:rPr>
                <w:caps/>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EXHIBIT B Group chart of target Co.</w:t>
            </w:r>
          </w:p>
        </w:tc>
        <w:tc>
          <w:tcPr>
            <w:tcW w:w="245" w:type="dxa"/>
            <w:tcBorders/>
            <w:shd w:fill="CCEEFF" w:val="clear"/>
            <w:vAlign w:val="center"/>
          </w:tcPr>
          <w:p>
            <w:pPr>
              <w:pStyle w:val="TableContents"/>
              <w:bidi w:val="0"/>
              <w:spacing w:before="0" w:after="283"/>
              <w:jc w:val="center"/>
              <w:rPr>
                <w:caps/>
              </w:rPr>
            </w:pPr>
            <w:r>
              <w:rPr>
                <w:caps/>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TRANSACTION AGREEMENT</w:t>
      </w:r>
      <w:r>
        <w:rPr>
          <w:rFonts w:ascii="Times New Roman;Times;Serif" w:hAnsi="Times New Roman;Times;Serif"/>
          <w:b w:val="false"/>
          <w:i w:val="false"/>
          <w:caps w:val="false"/>
          <w:smallCaps w:val="false"/>
          <w:sz w:val="20"/>
        </w:rPr>
        <w:t xml:space="preserve"> (as may be amended, restated, supplemented or varied in accordance with the terms herein,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and effective as of October 21, 2026, by and among:</w:t>
      </w:r>
    </w:p>
    <w:p>
      <w:pPr>
        <w:pStyle w:val="TextBody"/>
        <w:bidi w:val="0"/>
        <w:spacing w:before="0" w:after="0"/>
        <w:ind w:left="1160" w:right="0" w:hanging="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AIFU Inc., a business company duly incorporated with limited liability under the laws of the Cayman Islands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Sunrise Capital Partners Ltd., a limited company duly incorporated under the laws of the British Virgin Islands (“</w:t>
            </w:r>
            <w:r>
              <w:rPr>
                <w:rFonts w:ascii="Times New Roman;Times;Serif" w:hAnsi="Times New Roman;Times;Serif"/>
                <w:b/>
                <w:i w:val="false"/>
                <w:caps w:val="false"/>
                <w:smallCaps w:val="false"/>
                <w:sz w:val="20"/>
              </w:rPr>
              <w:t>Sunrise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Ballet Holding Ltd., a limited company duly incorporated under the laws of the British Virgin Islands (“</w:t>
            </w:r>
            <w:r>
              <w:rPr>
                <w:rFonts w:ascii="Times New Roman;Times;Serif" w:hAnsi="Times New Roman;Times;Serif"/>
                <w:b/>
                <w:i w:val="false"/>
                <w:caps w:val="false"/>
                <w:smallCaps w:val="false"/>
                <w:sz w:val="20"/>
              </w:rPr>
              <w:t>Ballet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Timber Management Limited, a limited company duly incorporated under the laws of Hong Kong (“</w:t>
            </w:r>
            <w:r>
              <w:rPr>
                <w:rFonts w:ascii="Times New Roman;Times;Serif" w:hAnsi="Times New Roman;Times;Serif"/>
                <w:b/>
                <w:i w:val="false"/>
                <w:caps w:val="false"/>
                <w:smallCaps w:val="false"/>
                <w:sz w:val="20"/>
              </w:rPr>
              <w:t>Timber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Modern Holding Ltd., a limited company duly incorporated under the laws of the British Virgin Islands (“</w:t>
            </w:r>
            <w:r>
              <w:rPr>
                <w:rFonts w:ascii="Times New Roman;Times;Serif" w:hAnsi="Times New Roman;Times;Serif"/>
                <w:b/>
                <w:i w:val="false"/>
                <w:caps w:val="false"/>
                <w:smallCaps w:val="false"/>
                <w:sz w:val="20"/>
              </w:rPr>
              <w:t>Modern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Sunrise, Ballet and Timber, together with Modern</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Waltz Investment Holding Ltd., a business company duly incorporated under the laws of the British Virgin Islands (“</w:t>
            </w:r>
            <w:r>
              <w:rPr>
                <w:rFonts w:ascii="Times New Roman;Times;Serif" w:hAnsi="Times New Roman;Times;Serif"/>
                <w:b/>
                <w:i w:val="false"/>
                <w:caps w:val="false"/>
                <w:smallCaps w:val="false"/>
                <w:sz w:val="20"/>
              </w:rPr>
              <w:t>Target Co.</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Wall Holding Limited, a company duly incorporated under the laws of Hong Kong (“</w:t>
            </w:r>
            <w:r>
              <w:rPr>
                <w:rFonts w:ascii="Times New Roman;Times;Serif" w:hAnsi="Times New Roman;Times;Serif"/>
                <w:b/>
                <w:i w:val="false"/>
                <w:caps w:val="false"/>
                <w:smallCaps w:val="false"/>
                <w:sz w:val="20"/>
              </w:rPr>
              <w:t>Wall HK</w:t>
            </w:r>
            <w:r>
              <w:rPr>
                <w:rFonts w:ascii="Times New Roman;Times;Serif" w:hAnsi="Times New Roman;Times;Serif"/>
                <w:b w:val="false"/>
                <w:i w:val="false"/>
                <w:caps w:val="false"/>
                <w:smallCaps w:val="false"/>
                <w:sz w:val="20"/>
              </w:rPr>
              <w:t>”), a wholly-owned subsidiary of the Target Co.;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13"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Waltz Trading (HK) Limited (“</w:t>
            </w:r>
            <w:r>
              <w:rPr>
                <w:rFonts w:eastAsia="Times New Roman;Times;Serif"/>
                <w:b w:val="false"/>
                <w:i w:val="false"/>
                <w:caps w:val="false"/>
                <w:smallCaps w:val="false"/>
                <w:sz w:val="20"/>
              </w:rPr>
              <w:t>华硕（香港）有限公司”</w:t>
            </w:r>
            <w:r>
              <w:rPr>
                <w:rFonts w:ascii="Times New Roman;Times;Serif" w:hAnsi="Times New Roman;Times;Serif"/>
                <w:b w:val="false"/>
                <w:i w:val="false"/>
                <w:caps w:val="false"/>
                <w:smallCaps w:val="false"/>
                <w:sz w:val="20"/>
              </w:rPr>
              <w:t>) , a company duly incorporated under the laws of Hong Kong, a wholly-owned subsidiary of the Target Co.(“</w:t>
            </w:r>
            <w:r>
              <w:rPr>
                <w:rFonts w:ascii="Times New Roman;Times;Serif" w:hAnsi="Times New Roman;Times;Serif"/>
                <w:b/>
                <w:i w:val="false"/>
                <w:caps w:val="false"/>
                <w:smallCaps w:val="false"/>
                <w:sz w:val="20"/>
              </w:rPr>
              <w:t>Waltz HK</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13"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Shenzhen Waltz New Material Management Co., Ltd. (“</w:t>
            </w:r>
            <w:r>
              <w:rPr>
                <w:rFonts w:eastAsia="Times New Roman;Times;Serif"/>
                <w:b w:val="false"/>
                <w:i w:val="false"/>
                <w:caps w:val="false"/>
                <w:smallCaps w:val="false"/>
                <w:sz w:val="20"/>
              </w:rPr>
              <w:t>深圳市华硕新材料管理咨询有限”</w:t>
            </w:r>
            <w:r>
              <w:rPr>
                <w:rFonts w:ascii="Times New Roman;Times;Serif" w:hAnsi="Times New Roman;Times;Serif"/>
                <w:b w:val="false"/>
                <w:i w:val="false"/>
                <w:caps w:val="false"/>
                <w:smallCaps w:val="false"/>
                <w:sz w:val="20"/>
              </w:rPr>
              <w:t>), a company duly incorporated under the laws of People’s Republic of China, a wholly-owned subsidiary of Waltz HK (“</w:t>
            </w:r>
            <w:r>
              <w:rPr>
                <w:rFonts w:ascii="Times New Roman;Times;Serif" w:hAnsi="Times New Roman;Times;Serif"/>
                <w:b/>
                <w:i w:val="false"/>
                <w:caps w:val="false"/>
                <w:smallCaps w:val="false"/>
                <w:sz w:val="20"/>
              </w:rPr>
              <w:t>Waltz WFOE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13"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Shenzhen Waltz New Material Applied Technology Co., Ltd. (“</w:t>
            </w:r>
            <w:r>
              <w:rPr>
                <w:rFonts w:eastAsia="Times New Roman;Times;Serif"/>
                <w:b w:val="false"/>
                <w:i w:val="false"/>
                <w:caps w:val="false"/>
                <w:smallCaps w:val="false"/>
                <w:sz w:val="20"/>
              </w:rPr>
              <w:t>深圳市华硕新材料应用科技有限公司”</w:t>
            </w:r>
            <w:r>
              <w:rPr>
                <w:rFonts w:ascii="Times New Roman;Times;Serif" w:hAnsi="Times New Roman;Times;Serif"/>
                <w:b w:val="false"/>
                <w:i w:val="false"/>
                <w:caps w:val="false"/>
                <w:smallCaps w:val="false"/>
                <w:sz w:val="20"/>
              </w:rPr>
              <w:t>), a company duly incorporated under the laws of People’s Republic of China, a 99%-owned subsidiary of Waltz WFOE (“</w:t>
            </w:r>
            <w:r>
              <w:rPr>
                <w:rFonts w:ascii="Times New Roman;Times;Serif" w:hAnsi="Times New Roman;Times;Serif"/>
                <w:b/>
                <w:i w:val="false"/>
                <w:caps w:val="false"/>
                <w:smallCaps w:val="false"/>
                <w:sz w:val="20"/>
              </w:rPr>
              <w:t>Shenzhen Waltz</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both"/>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13"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Shenzhen HuaJade New Material Technology Co., Ltd. (“</w:t>
            </w:r>
            <w:r>
              <w:rPr>
                <w:rFonts w:eastAsia="Times New Roman;Times;Serif"/>
                <w:b w:val="false"/>
                <w:i w:val="false"/>
                <w:caps w:val="false"/>
                <w:smallCaps w:val="false"/>
                <w:sz w:val="20"/>
              </w:rPr>
              <w:t>深圳华杰新材料科技有限公司”</w:t>
            </w:r>
            <w:r>
              <w:rPr>
                <w:rFonts w:ascii="Times New Roman;Times;Serif" w:hAnsi="Times New Roman;Times;Serif"/>
                <w:b w:val="false"/>
                <w:i w:val="false"/>
                <w:caps w:val="false"/>
                <w:smallCaps w:val="false"/>
                <w:sz w:val="20"/>
              </w:rPr>
              <w:t>), a company duly incorporated under the laws of People’s Republic of China, a wholly-owned subsidiary of Shenzhen Waltz (“</w:t>
            </w:r>
            <w:r>
              <w:rPr>
                <w:rFonts w:ascii="Times New Roman;Times;Serif" w:hAnsi="Times New Roman;Times;Serif"/>
                <w:b/>
                <w:i w:val="false"/>
                <w:caps w:val="false"/>
                <w:smallCaps w:val="false"/>
                <w:sz w:val="20"/>
              </w:rPr>
              <w:t>Shenzhen HuaJade</w:t>
            </w:r>
            <w:r>
              <w:rPr>
                <w:rFonts w:ascii="Times New Roman;Times;Serif" w:hAnsi="Times New Roman;Times;Serif"/>
                <w:b w:val="false"/>
                <w:i w:val="false"/>
                <w:caps w:val="false"/>
                <w:smallCaps w:val="false"/>
                <w:sz w:val="20"/>
              </w:rPr>
              <w:t>”);</w:t>
            </w:r>
          </w:p>
        </w:tc>
      </w:tr>
    </w:tbl>
    <w:p>
      <w:pPr>
        <w:pStyle w:val="TextBody"/>
        <w:bidi w:val="0"/>
        <w:spacing w:before="0" w:after="0"/>
        <w:ind w:left="1160" w:right="0" w:hanging="440"/>
        <w:jc w:val="left"/>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0"/>
        <w:ind w:left="0" w:right="0" w:hanging="0"/>
        <w:jc w:val="left"/>
        <w:rPr/>
      </w:pPr>
      <w:r>
        <w:rPr/>
        <w:t> </w:t>
      </w:r>
    </w:p>
    <w:p>
      <w:pPr>
        <w:pStyle w:val="TextBody"/>
        <w:bidi w:val="0"/>
        <w:spacing w:before="0" w:after="0"/>
        <w:ind w:left="1160" w:right="0" w:hanging="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48"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Shenzhen Huachen Material Technology Co., Ltd. (“</w:t>
            </w:r>
            <w:r>
              <w:rPr>
                <w:rFonts w:eastAsia="Times New Roman;Times;Serif"/>
                <w:b w:val="false"/>
                <w:i w:val="false"/>
                <w:caps w:val="false"/>
                <w:smallCaps w:val="false"/>
                <w:sz w:val="20"/>
              </w:rPr>
              <w:t>深圳华晨材料科技有限公司”</w:t>
            </w:r>
            <w:r>
              <w:rPr>
                <w:rFonts w:ascii="Times New Roman;Times;Serif" w:hAnsi="Times New Roman;Times;Serif"/>
                <w:b w:val="false"/>
                <w:i w:val="false"/>
                <w:caps w:val="false"/>
                <w:smallCaps w:val="false"/>
                <w:sz w:val="20"/>
              </w:rPr>
              <w:t>), a company duly incorporated under the laws of People’s Republic of China, a wholly-owned subsidiary of Shenzhen Waltz (“</w:t>
            </w:r>
            <w:r>
              <w:rPr>
                <w:rFonts w:ascii="Times New Roman;Times;Serif" w:hAnsi="Times New Roman;Times;Serif"/>
                <w:b/>
                <w:i w:val="false"/>
                <w:caps w:val="false"/>
                <w:smallCaps w:val="false"/>
                <w:sz w:val="20"/>
              </w:rPr>
              <w:t>Shenzhen Huachen</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to this Agreement is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the date of this Agreement, the Sellers collectively own 10,000 ordinary shares of Target Co. with par value of US$1.0 per share (such shares, the “</w:t>
      </w:r>
      <w:r>
        <w:rPr>
          <w:rFonts w:ascii="Times New Roman;Times;Serif" w:hAnsi="Times New Roman;Times;Serif"/>
          <w:b/>
          <w:i w:val="false"/>
          <w:caps w:val="false"/>
          <w:smallCaps w:val="false"/>
          <w:sz w:val="20"/>
        </w:rPr>
        <w:t>Sale Shares</w:t>
      </w:r>
      <w:r>
        <w:rPr>
          <w:rFonts w:ascii="Times New Roman;Times;Serif" w:hAnsi="Times New Roman;Times;Serif"/>
          <w:b w:val="false"/>
          <w:i w:val="false"/>
          <w:caps w:val="false"/>
          <w:smallCaps w:val="false"/>
          <w:sz w:val="20"/>
        </w:rPr>
        <w:t>”), of which Sunrise, Ballet, Timber and Modern own 12.0%, 24.0%, 24.0% and 41.0%, respectively, which constitute all of the issued and outstanding equity securities of the Target Co.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Sellers desire to sell, transfer and deliver all of the Sale Shares to the Buyer, and the Buyer desires to purchase and accept the Sale Shares, in exchange for the issuance of Buyer Shares (as defined below) and the payment of cash to the Sellers, in the aggregate, pursuant to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furtherance of the foregoing, the total Consideration (as defined below) shall be RMB300,000,000 or equivalent to US$44,610,329 (the exchange rate of RMB against US$ shall be the central parity rate as published by China Foreign Exchange Trading Center and authorized by the People’s Bank of China on date of October 14, 2026, i.e., US$1.0 against RMB6.7249), which shall consist of:</w:t>
      </w:r>
    </w:p>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7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11,203,443 Buyer Shares (as defined below) (the “</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which shall be issued by the Buyer to the Sellers at Closing (as defined below). The number of the Consideration Shares shall be the result of dividing (x) US$44,610,329 minus US$11,000,000 (i.e. US$33,610,329) by (y) the per share purchase price of US$3.0; and</w:t>
      </w:r>
    </w:p>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7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cash payment of </w:t>
      </w:r>
      <w:r>
        <w:rPr>
          <w:rFonts w:ascii="Times New Roman;Times;Serif" w:hAnsi="Times New Roman;Times;Serif"/>
          <w:b/>
          <w:i w:val="false"/>
          <w:caps w:val="false"/>
          <w:smallCaps w:val="false"/>
          <w:sz w:val="20"/>
        </w:rPr>
        <w:t>US$11,000,000</w:t>
      </w:r>
      <w:r>
        <w:rPr>
          <w:rFonts w:ascii="Times New Roman;Times;Serif" w:hAnsi="Times New Roman;Times;Serif"/>
          <w:b w:val="false"/>
          <w:i w:val="false"/>
          <w:caps w:val="false"/>
          <w:smallCaps w:val="false"/>
          <w:sz w:val="20"/>
        </w:rPr>
        <w:t xml:space="preserve"> (together with the Consideration Shares,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which shall be paid within 365 days after the Closing Date (as defined below).</w:t>
      </w:r>
    </w:p>
    <w:p>
      <w:pPr>
        <w:pStyle w:val="TextBody"/>
        <w:bidi w:val="0"/>
        <w:spacing w:before="0" w:after="0"/>
        <w:ind w:left="7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accordingly, based on the respective shareholding of the Sellers in the Target Co., the Buyer will (i) issue 1,713,700 Buyer Shares to Sunrise, 3,546,580 Buyer Shares to Ballet, 3,546,580 Buyer Shares to Timber and 2,396,583 Buyer Shares to Modern, and (ii) pay a cash consideration of US$11,000,000 to Modern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which cash consideration shall be paid in full within 365 days after the Closing Date</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make certain representations, warranties, covenants and agreements in connection with this Agreement and the transactions contemplated hereby and to prescribe certain conditions with respect to the consummation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set forth above and the Parties’ respective representations, warranties, covenants and agreements contained in this Agreement, as well as other good and valuable consideration, the receipt and sufficiency of which are hereby acknowledged, the Parties agree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Interpretation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Agreement, in addition to the words and expressions defined elsewhere in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with respect to any Person that is a natural person, (i) any other Person that is directly or indirectly Controlled by such Person, (ii) such Person’s spouse, lineal descendant (whether natural or adopted), brother, sister, or parent, and/or (iii) any estate, trust or partnership that is established by or for the benefit of such Person or any Person described in (ii), in each case, that is directly or indirectly Controlled by such Person, and (b) with respect to any Person that is not a natural person, any other Person that is directly or indirectly Controlling, Controlled by or under common Control with such Person. For the avoidance of doubt, any Buyer Group Company shall not be deemed to be an Affiliate of any Target Co. Group Company, and any Target Co. Group Company shall not be deemed to be an Affiliate of any Buyer Group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transnational, foreign or domestic federal, provincial, state or local law, statute, ordinance, treaty, constitution, regulation, rule, code, Order, authoritative interpretation or other requirement or rule of law, including common law, as may be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Approvals</w:t>
      </w:r>
      <w:r>
        <w:rPr>
          <w:rFonts w:ascii="Times New Roman;Times;Serif" w:hAnsi="Times New Roman;Times;Serif"/>
          <w:b w:val="false"/>
          <w:i w:val="false"/>
          <w:caps w:val="false"/>
          <w:smallCaps w:val="false"/>
          <w:sz w:val="20"/>
        </w:rPr>
        <w:t>” means any license, consent, authorization, order, confirmation, qualification, permission, certificate, approval, authorization, record-filing, registration, permit, waiver and/or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other day on which commercial banks in Hong Kong, the PRC, the British Virgin Islands, are authorized or required by Applicable Laws to close.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Group Companies</w:t>
      </w:r>
      <w:r>
        <w:rPr>
          <w:rFonts w:ascii="Times New Roman;Times;Serif" w:hAnsi="Times New Roman;Times;Serif"/>
          <w:b w:val="false"/>
          <w:i w:val="false"/>
          <w:caps w:val="false"/>
          <w:smallCaps w:val="false"/>
          <w:sz w:val="20"/>
        </w:rPr>
        <w:t>” means the Buyer and its Subsidiaries from time to time, and each a “</w:t>
      </w:r>
      <w:r>
        <w:rPr>
          <w:rFonts w:ascii="Times New Roman;Times;Serif" w:hAnsi="Times New Roman;Times;Serif"/>
          <w:b/>
          <w:i w:val="false"/>
          <w:caps w:val="false"/>
          <w:smallCaps w:val="false"/>
          <w:sz w:val="20"/>
        </w:rPr>
        <w:t>Buyer Group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Co. Group Companies</w:t>
      </w:r>
      <w:r>
        <w:rPr>
          <w:rFonts w:ascii="Times New Roman;Times;Serif" w:hAnsi="Times New Roman;Times;Serif"/>
          <w:b w:val="false"/>
          <w:i w:val="false"/>
          <w:caps w:val="false"/>
          <w:smallCaps w:val="false"/>
          <w:sz w:val="20"/>
        </w:rPr>
        <w:t>” means Target Co. and its Subsidiaries from time to time, for the avoidance of doubt, immediately prior the Closing, including Wall HK, Waltz HK, Waltz WFOE, Shenzhen Waltz, Shenzhen HuaJade and Shenzhen Huachen, and each a “</w:t>
      </w:r>
      <w:r>
        <w:rPr>
          <w:rFonts w:ascii="Times New Roman;Times;Serif" w:hAnsi="Times New Roman;Times;Serif"/>
          <w:b/>
          <w:i w:val="false"/>
          <w:caps w:val="false"/>
          <w:smallCaps w:val="false"/>
          <w:sz w:val="20"/>
        </w:rPr>
        <w:t>Target Co. Group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Material Adverse Effect</w:t>
      </w:r>
      <w:r>
        <w:rPr>
          <w:rFonts w:ascii="Times New Roman;Times;Serif" w:hAnsi="Times New Roman;Times;Serif"/>
          <w:b w:val="false"/>
          <w:i w:val="false"/>
          <w:caps w:val="false"/>
          <w:smallCaps w:val="false"/>
          <w:sz w:val="20"/>
        </w:rPr>
        <w:t xml:space="preserve">” means any event, circumstance, development, change or effect that, individually or in the aggregate, has or would reasonably be expected to have a material adverse effect on (a) the business, properties, assets, Liabilities, operations, results of operations or financial condition of the Buyer Group Companies, taken as a whole, or (b) the authority or ability of the Buyer to perform its obligations under this Agreement or any of the Transaction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(a) above, in no event shall any of the following exceptions, alone or in combination with the other enumerated exceptions below, be deemed to constitute, a Buyer Material Adverse Effect: (i) any effect resulting from compliance with the terms and conditions of, or from the announcement of the transactions contemplated by this Agreement and/or any Transaction Agreement, (ii) any effect that results from changes affecting the industries in which the Buyer or the Buyer Group Companies operate generally, (iii) any effect that results from changes affecting general worldwide economic conditions,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changes in (ii) and (iii) do not disproportionately affect the Buyer Group Companies, taken as a whole, in any material respect relative to other similarly situated participants in the industry in which they operate, with comparable business volume and similar development stage, (iv) any pandemic, earthquake, typhoon, tornado or other natural disaster or similar force majeure event, or (v) any failure to meet any internal or public projections, forecasts or guidance,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underlying causes that lead to any failure to meet any internal or public projections, forecasts or guidance as set forth in (v) are not included under this clause (v).</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Public Reports</w:t>
      </w:r>
      <w:r>
        <w:rPr>
          <w:rFonts w:ascii="Times New Roman;Times;Serif" w:hAnsi="Times New Roman;Times;Serif"/>
          <w:b w:val="false"/>
          <w:i w:val="false"/>
          <w:caps w:val="false"/>
          <w:smallCaps w:val="false"/>
          <w:sz w:val="20"/>
        </w:rPr>
        <w:t>” means the annual reports of the Buyer for the fiscal years ended December 31, 2024 and 2025 and for the six months ended June 30, 2026, as publicly filed by the Buyer with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Shares</w:t>
      </w:r>
      <w:r>
        <w:rPr>
          <w:rFonts w:ascii="Times New Roman;Times;Serif" w:hAnsi="Times New Roman;Times;Serif"/>
          <w:b w:val="false"/>
          <w:i w:val="false"/>
          <w:caps w:val="false"/>
          <w:smallCaps w:val="false"/>
          <w:sz w:val="20"/>
        </w:rPr>
        <w:t>” means the Class A ordinary shares of AIFU Inc., par value US$0.002 per share (or of such other securities as shall result from a subdivision, consolidation, re-classification or re-construction of such shares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as to any Person, the power to direct or cause the direction of the management and policies of such Person, whether through the ownership of voting securities, by contract or otherwise. The terms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have correlative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Buyer Representations</w:t>
      </w:r>
      <w:r>
        <w:rPr>
          <w:rFonts w:ascii="Times New Roman;Times;Serif" w:hAnsi="Times New Roman;Times;Serif"/>
          <w:b w:val="false"/>
          <w:i w:val="false"/>
          <w:caps w:val="false"/>
          <w:smallCaps w:val="false"/>
          <w:sz w:val="20"/>
        </w:rPr>
        <w:t>” means the representations and warranties by Buyer in Section 3.2, Section 3.3, Section 3.4, Section 3.5, Section 3.7(b), Section 3.13, and Section 3.15.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Seller Representations</w:t>
      </w:r>
      <w:r>
        <w:rPr>
          <w:rFonts w:ascii="Times New Roman;Times;Serif" w:hAnsi="Times New Roman;Times;Serif"/>
          <w:b w:val="false"/>
          <w:i w:val="false"/>
          <w:caps w:val="false"/>
          <w:smallCaps w:val="false"/>
          <w:sz w:val="20"/>
        </w:rPr>
        <w:t>” means the representations and warranties by the Sellers in Section 4.3, Section 4.4, Section 4.5, Section 4.10, Section 4.12 and Section 4.15.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international, transnational, national, domestic or foreign, federal, state, prefecture, regional or local government, department, division or subdivision, governmental, regulatory or administrative agency, administration, board, authority, commission, instrumentality or other body, self-regulatory organization or any court, tribunal or other judicial or arbitral body, or any governing body of a stock exchange.</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Hong Kong</w:t>
      </w:r>
      <w:r>
        <w:rPr>
          <w:rFonts w:ascii="Times New Roman;Times;Serif" w:hAnsi="Times New Roman;Times;Serif"/>
          <w:b w:val="false"/>
          <w:i w:val="false"/>
          <w:caps w:val="false"/>
          <w:smallCaps w:val="false"/>
          <w:sz w:val="20"/>
        </w:rPr>
        <w:t>” means the Hong Kong Special Administrative Region of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means the Buyer pursuant to Section 7.2, and the Sellers pursuant to Section 7.4,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any intellectual property or similar proprietary rights, including all trademarks, service marks, business or trade names, trading goodwill, Internet domain names, social media identifiers or accounts, designs (whether registered or unregistered), patents, copyrights, database rights, confidential information, trade secrets, know-how and all registrations and applications for registration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shall mean, with respect to any Person, the actual knowledge of such Person, and that knowledge which should have been acquired by such Person after making such due inquiry and exercising such due diligence as a prudent business person would have made or exercised in the management of his or her business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Liability</w:t>
      </w:r>
      <w:r>
        <w:rPr>
          <w:rFonts w:ascii="Times New Roman;Times;Serif" w:hAnsi="Times New Roman;Times;Serif"/>
          <w:b w:val="false"/>
          <w:i w:val="false"/>
          <w:caps w:val="false"/>
          <w:smallCaps w:val="false"/>
          <w:sz w:val="20"/>
        </w:rPr>
        <w:t>” means any liability or obligation of any kind or description, whether accrued, contingent, absolute, determined, determinable, known, unknown or otherwise, and whether presently in existence as of the date of this Agreement or arising 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charge, debenture, lien, mortgage, security interest, pledge deposit, encumbrance, assignment, hypothecation, title retention, right of pre-emption, assignment, deed of trust, other security agreement or arrangement or other type of preferential arrangement having similar effect, any voting proxy, power of attorney, voting trust arrangement, interest, exclusive license of Intellectual Property, right of first refusal or any adverse claim as to title, possession or use and all other rights or interests exercisable by, or claims by, third parties, irrespective of whether such Lien arises under any agreement or other instrument, operation of law or by means of a judgment, order or decree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 Stop Date</w:t>
      </w:r>
      <w:r>
        <w:rPr>
          <w:rFonts w:ascii="Times New Roman;Times;Serif" w:hAnsi="Times New Roman;Times;Serif"/>
          <w:b w:val="false"/>
          <w:i w:val="false"/>
          <w:caps w:val="false"/>
          <w:smallCaps w:val="false"/>
          <w:sz w:val="20"/>
        </w:rPr>
        <w:t>” means the six (6) -month anniversary of the date of this Agreement or other date that is agreed upon in writing by the Sellers and the Buyer after the initial six (6)-month anniversary.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order, writ, judgment, injunction, decree, stipulation, ruling, decision, verdict, determination or award made, issued or entered by or with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means, with respect to any Person (other than an individual), (a) the memorandum, certificate of incorporation, articles of association or any other similar documents adopted or filed in connection with the creation, formation or organization of such Person and (b) the by-laws, voting agreements and similar documents, instruments or agreements relating to the organization or governance of such Person, in each case, as amended, supplemented or restated from time to time.</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partnership, corporation, company, limited liability company, firm, association, joint-stock company, trust, joint venture, unincorporated organization, institution, trust or agency, Governmental Authority or other entity of any kind, whether or not having a separate legal personality.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means the People’s Republic of China, excluding, for purposes of this Agreement, Hong Kong, Taiwan and Macau Special Administrative Region of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claim, demand, suit, litigation, arbitration, proceeding, audit or investigation brought by or before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SAMR</w:t>
      </w:r>
      <w:r>
        <w:rPr>
          <w:rFonts w:ascii="Times New Roman;Times;Serif" w:hAnsi="Times New Roman;Times;Serif"/>
          <w:b w:val="false"/>
          <w:i w:val="false"/>
          <w:caps w:val="false"/>
          <w:smallCaps w:val="false"/>
          <w:sz w:val="20"/>
        </w:rPr>
        <w:t>” means the State Administration for Market Regulation of the PRC and its local branches.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Documents</w:t>
      </w:r>
      <w:r>
        <w:rPr>
          <w:rFonts w:ascii="Times New Roman;Times;Serif" w:hAnsi="Times New Roman;Times;Serif"/>
          <w:b w:val="false"/>
          <w:i w:val="false"/>
          <w:caps w:val="false"/>
          <w:smallCaps w:val="false"/>
          <w:sz w:val="20"/>
        </w:rPr>
        <w:t>” means, collectively, all statements, reports, schedules, forms and other documents required to be filed or furnished by the Buyer or the Sellers (as the case may be) to or with the SEC pursuant to the listing rules and regulations from time to time, together with all exhibits included therein and financial statements, notes and schedules thereto and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 Person means any other Person that is Controlled by the first-mentioned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Co. Group Companies</w:t>
      </w:r>
      <w:r>
        <w:rPr>
          <w:rFonts w:ascii="Times New Roman;Times;Serif" w:hAnsi="Times New Roman;Times;Serif"/>
          <w:b w:val="false"/>
          <w:i w:val="false"/>
          <w:caps w:val="false"/>
          <w:smallCaps w:val="false"/>
          <w:sz w:val="20"/>
        </w:rPr>
        <w:t>” means Target Co. and its Subsidiaries from time to time, and each a “</w:t>
      </w:r>
      <w:r>
        <w:rPr>
          <w:rFonts w:ascii="Times New Roman;Times;Serif" w:hAnsi="Times New Roman;Times;Serif"/>
          <w:b/>
          <w:i w:val="false"/>
          <w:caps w:val="false"/>
          <w:smallCaps w:val="false"/>
          <w:sz w:val="20"/>
        </w:rPr>
        <w:t>Target Co. Group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Target Co. Material Adverse Effect</w:t>
      </w:r>
      <w:r>
        <w:rPr>
          <w:rFonts w:ascii="Times New Roman;Times;Serif" w:hAnsi="Times New Roman;Times;Serif"/>
          <w:b w:val="false"/>
          <w:i w:val="false"/>
          <w:caps w:val="false"/>
          <w:smallCaps w:val="false"/>
          <w:sz w:val="20"/>
        </w:rPr>
        <w:t xml:space="preserve">” means any event, circumstance, development, change or effect that, individually or in the aggregate, has or would reasonably be expected to have a material adverse effect on (a) the business, properties, assets, Liabilities, operations, results of operations or financial condition of the Target Co. Group Companies, taken as a whole, or (b) the authority or ability of Target Co. to perform its obligations under this Agreement or any of the Transaction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clause (a) above, in no event shall any of the following exceptions, alone or in combination with the other enumerated exceptions below, be deemed to constitute, a Target Co. Material Adverse Effect: (i) any effect resulting from compliance with the terms and conditions of, or from the announcement of the transactions contemplated by this Agreement and/or any Transaction Agreement, (ii) any effect that results from changes affecting the industries in which Target Co. or the Target Co. Group Companies operate generally, (iii) any effect that results from changes affecting general worldwide economic conditions,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changes in (ii) and (iii) do not disproportionately affect the Target Co. Group Companies, taken as a whole, in any material respect relative to other similarly situated participants in the industry, in which they operate with comparable business volume and similar development stage, (iv) any pandemic, earthquake, typhoon, tornado or other natural disaster or similar force majeure event, or (v) any failure to meet any internal or public projections, forecasts or guidance,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underlying causes that lead to any failure to meet any internal or public projections, forecasts or guidance as set forth in (v) are not included under this clause (v).</w:t>
      </w:r>
    </w:p>
    <w:p>
      <w:pPr>
        <w:pStyle w:val="TextBody"/>
        <w:bidi w:val="0"/>
        <w:spacing w:before="0" w:after="0"/>
        <w:ind w:left="0" w:right="0" w:firstLine="72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return, declaration, report, claim for refund, information return or statement or other document required to be filed with respect to tax, including any schedule or attachment thereto, and including any amendment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means this Agreement, any instrument of transfer substantially in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group chart of Target Co. before closing substantially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 and any other agreement, document or instrument entered into or delivered in connection with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the United States dollar, the lawful currency of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HK$</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HKD</w:t>
      </w:r>
      <w:r>
        <w:rPr>
          <w:rFonts w:ascii="Times New Roman;Times;Serif" w:hAnsi="Times New Roman;Times;Serif"/>
          <w:b w:val="false"/>
          <w:i w:val="false"/>
          <w:caps w:val="false"/>
          <w:smallCaps w:val="false"/>
          <w:sz w:val="20"/>
        </w:rPr>
        <w:t>” means the Hong Kong dollar, the lawful currency of Hong Kong.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caps w:val="false"/>
          <w:smallCaps w:val="false"/>
          <w:sz w:val="20"/>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construed according to its fair language. The rule of construction to the effect that ambiguities are to be resolved against the drafting party shall not be employed in interpreting this Agreement. For the purposes of this Agreement,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email and other electronic media) in a visible form. References to any agreement or contract are to that agreement or contract as amended, modified or supplemented from time to time in accordance with the terms hereof and thereof. References to any law include all rules and regulations promulgated thereunder and as amended, modified or supplemented from time to time. References to any Person include the successors and permitted assigns of that Person. References from or through any date mean, unless otherwise specified, from and including or through and including, respectively, and any time of day is a reference to China Standard Time (unless otherwise specified), and if the date on or by which something must be done is not a Business Day, that thing must be done on or by the Business Day immediately following such day.</w:t>
      </w:r>
    </w:p>
    <w:p>
      <w:pPr>
        <w:pStyle w:val="TextBody"/>
        <w:bidi w:val="0"/>
        <w:spacing w:before="0" w:after="0"/>
        <w:ind w:left="0" w:right="0" w:hanging="0"/>
        <w:jc w:val="center"/>
        <w:rPr>
          <w:smallCaps/>
        </w:rPr>
      </w:pPr>
      <w:r>
        <w:rPr>
          <w:smallCaps/>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Consideration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Share Transfer, Share Issuance and Payment in Cash</w:t>
      </w:r>
    </w:p>
    <w:p>
      <w:pPr>
        <w:pStyle w:val="TextBody"/>
        <w:bidi w:val="0"/>
        <w:spacing w:before="0" w:after="0"/>
        <w:ind w:left="0" w:right="0" w:firstLine="590"/>
        <w:jc w:val="both"/>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hereof, the Sellers agree to sell, transfer and deliver to </w:t>
      </w:r>
      <w:r>
        <w:rPr>
          <w:rFonts w:ascii="Times New Roman;Times;Serif" w:hAnsi="Times New Roman;Times;Serif"/>
          <w:b/>
          <w:i w:val="false"/>
          <w:caps w:val="false"/>
          <w:smallCaps w:val="false"/>
          <w:sz w:val="20"/>
        </w:rPr>
        <w:t>the Buyer or its designated subsidiary</w:t>
      </w:r>
      <w:r>
        <w:rPr>
          <w:rFonts w:ascii="Times New Roman;Times;Serif" w:hAnsi="Times New Roman;Times;Serif"/>
          <w:b w:val="false"/>
          <w:i w:val="false"/>
          <w:caps w:val="false"/>
          <w:smallCaps w:val="false"/>
          <w:sz w:val="20"/>
        </w:rPr>
        <w:t>, at the Closing, all of the Sale Shares, free and clear of all Liens and together with all rights attached or accruing to them at the Closing Date (such transaction, the “</w:t>
      </w:r>
      <w:r>
        <w:rPr>
          <w:rFonts w:ascii="Times New Roman;Times;Serif" w:hAnsi="Times New Roman;Times;Serif"/>
          <w:b/>
          <w:i w:val="false"/>
          <w:caps w:val="false"/>
          <w:smallCaps w:val="false"/>
          <w:sz w:val="20"/>
        </w:rPr>
        <w:t>Share Transfer</w:t>
      </w:r>
      <w:r>
        <w:rPr>
          <w:rFonts w:ascii="Times New Roman;Times;Serif" w:hAnsi="Times New Roman;Times;Serif"/>
          <w:b w:val="false"/>
          <w:i w:val="false"/>
          <w:caps w:val="false"/>
          <w:smallCaps w:val="false"/>
          <w:sz w:val="20"/>
        </w:rPr>
        <w:t>”), and the Buyer agrees to:</w:t>
      </w:r>
    </w:p>
    <w:p>
      <w:pPr>
        <w:pStyle w:val="TextBody"/>
        <w:bidi w:val="0"/>
        <w:spacing w:before="0" w:after="0"/>
        <w:ind w:left="0" w:right="0" w:firstLine="590"/>
        <w:jc w:val="both"/>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to the Sellers, at the Closing, all of the Consideration Shares free and clear of all Liens and together with all rights attached or accruing to them at the Closing Date (such transaction, the “</w:t>
      </w:r>
      <w:r>
        <w:rPr>
          <w:rFonts w:ascii="Times New Roman;Times;Serif" w:hAnsi="Times New Roman;Times;Serif"/>
          <w:b/>
          <w:i w:val="false"/>
          <w:caps w:val="false"/>
          <w:smallCaps w:val="false"/>
          <w:sz w:val="20"/>
        </w:rPr>
        <w:t>Share Issuance</w:t>
      </w:r>
      <w:r>
        <w:rPr>
          <w:rFonts w:ascii="Times New Roman;Times;Serif" w:hAnsi="Times New Roman;Times;Serif"/>
          <w:b w:val="false"/>
          <w:i w:val="false"/>
          <w:caps w:val="false"/>
          <w:smallCaps w:val="false"/>
          <w:sz w:val="20"/>
        </w:rPr>
        <w:t>”); and</w:t>
      </w:r>
    </w:p>
    <w:p>
      <w:pPr>
        <w:pStyle w:val="TextBody"/>
        <w:bidi w:val="0"/>
        <w:spacing w:before="0" w:after="0"/>
        <w:ind w:left="0" w:right="0" w:firstLine="590"/>
        <w:jc w:val="both"/>
        <w:rPr>
          <w:caps w:val="false"/>
          <w:smallCaps w:val="false"/>
        </w:rPr>
      </w:pPr>
      <w:r>
        <w:rPr>
          <w:caps w:val="false"/>
          <w:smallCaps w:val="false"/>
        </w:rPr>
        <w:t> </w:t>
      </w:r>
    </w:p>
    <w:p>
      <w:pPr>
        <w:pStyle w:val="TextBody"/>
        <w:bidi w:val="0"/>
        <w:spacing w:before="0" w:after="0"/>
        <w:ind w:left="0" w:right="0" w:firstLine="7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pay </w:t>
      </w:r>
      <w:r>
        <w:rPr>
          <w:rFonts w:ascii="Times New Roman;Times;Serif" w:hAnsi="Times New Roman;Times;Serif"/>
          <w:b/>
          <w:i w:val="false"/>
          <w:caps w:val="false"/>
          <w:smallCaps w:val="false"/>
          <w:sz w:val="20"/>
        </w:rPr>
        <w:t>US$11,000,000</w:t>
      </w:r>
      <w:r>
        <w:rPr>
          <w:rFonts w:ascii="Times New Roman;Times;Serif" w:hAnsi="Times New Roman;Times;Serif"/>
          <w:b w:val="false"/>
          <w:i w:val="false"/>
          <w:caps w:val="false"/>
          <w:smallCaps w:val="false"/>
          <w:sz w:val="20"/>
        </w:rPr>
        <w:t xml:space="preserve"> in cash to Modern, which shall be paid within 365 days after the Closing Date. The Share Transfer, the Share Issuance and the payment in cash described above are referred to collectively herein as the “</w:t>
      </w:r>
      <w:r>
        <w:rPr>
          <w:rFonts w:ascii="Times New Roman;Times;Serif" w:hAnsi="Times New Roman;Times;Serif"/>
          <w:b/>
          <w:i w:val="false"/>
          <w:caps w:val="false"/>
          <w:smallCaps w:val="false"/>
          <w:sz w:val="20"/>
        </w:rPr>
        <w:t>Share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caps w:val="false"/>
          <w:smallCaps w:val="false"/>
          <w:sz w:val="20"/>
        </w:rPr>
        <w:t>Closing.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Share Transfer and the Share Issuance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and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take place via the remote exchange of documents and signatures on a date as soon as possible but in any event no later than the fifth (5th) Business Day after the satisfaction or valid waiver by the relevant Party of each of the conditions set forth in Section 5.1, Section 5.2 and Section 5.3 (except for the conditions that by their nature are to be satisfied at the Closing, but subject to the satisfaction or waiver of those conditions at the Closing), or at such other time and place as collectively agreed by the Buyer and the Sellers.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consummation of the Share Transfer and the Share Issuance shall occur concurrently.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the Buyer shall deliver or cause to be delivered to the Sellers: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Consideration Shares and the scanned copy of share certificate(s) representing the Consideration Shares, duly executed on behalf of the Buyer and registered in the name of the Sellers, the original copy of which shall be delivered to the Sellers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certified true copy of an excerpt of the register of members of the Buyer, reflecting the Sellers’ ownership of the Consideration Shares;</w:t>
      </w:r>
    </w:p>
    <w:p>
      <w:pPr>
        <w:pStyle w:val="TextBody"/>
        <w:bidi w:val="0"/>
        <w:spacing w:before="0" w:after="0"/>
        <w:ind w:left="720" w:right="0" w:firstLine="108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pPr>
      <w:r>
        <w:rPr/>
        <w: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scanned copy of the board of directors’ resolutions of the Buyer, approving and consenting to, among other things, the execution, delivery and performance of this Agreement and any other Transaction Document to which the Buyer is a party, and the transactions contemplated hereby and thereby;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certificate executed by a duly authorized officer of the Buyer, certifying to the fulfillment of the conditions specified in Section 5.1 and Section 5.2;</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extent not previously delivered, such documents, instruments and items required to be delivered in connection with the fulfillment of the conditions specified in Section 5.1 and Section 5.2.</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Closing, the Sellers shall deliver or cause to be delivered to the Buyer: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Sale Shares, and the scanned copy of share certificate(s) representing the Sale Shares, duly executed on behalf of Target Co. and registered in the name of the Buyer, the original copy of which shall be delivered to the Buyer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certified true copy of the register of members of Target Co., reflecting the Buyer’s ownership of the Sale Shares;</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scanned copy of the resignation letters duly executed by such director(s) of Target Co. nominated by the Sellers, the original copy of which shall be delivered to Target Co.’s registered agent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scanned copy of the instrument of transfer evidencing the transfer of the Sale Shares to the Buyer, substantially in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duly executed by each Seller, the original copy of which shall be delivered to Target Co.’s registered agent within five (5) Business Days following the Closing Date;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scanned copy of the directors’ resolutions of the Sellers, approving and consenting to, among other things, the execution, delivery and performance of this Agreement and any other Transaction Document to which each Seller is a party, and the transactions contemplated hereby and thereby;</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certificate executed by a duly authorized officer of each Seller, certifying to the fulfillment of the conditions specified in Section 5.1 and Section 5.3;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the extent not previously delivered, such documents, instruments and items required to be delivered in connection with the fulfillment of the conditions specified in Section 5.1 and Section 5.3.</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At the Closing, each Seller shall, and shall cause the relevant Target Co. Group Companies to, deliver (or cause to be delivered) to the Buyer (i) all chops and seals of the Target Co. Group Companies, including all company chops, financial chops, contract chops and other chops and seals (if any), (ii) all books, accounts records, tax files, tax reports and any other similar documents of the Target Co. Group Companies, (iii) all documents necessary to change the bank mandates of the Target Co. Group Companies in such manner as the Buyer requires and all online banking u-keys of the Target Co. Group Companies, and (iv) all licenses, Permits, physical assets and contracts of the Target Co. Group Companies.</w:t>
      </w:r>
    </w:p>
    <w:p>
      <w:pPr>
        <w:pStyle w:val="TextBody"/>
        <w:bidi w:val="0"/>
        <w:spacing w:before="0" w:after="0"/>
        <w:ind w:left="0" w:right="0" w:hanging="0"/>
        <w:jc w:val="center"/>
        <w:rPr>
          <w:caps/>
        </w:rPr>
      </w:pPr>
      <w:r>
        <w:rPr>
          <w:caps/>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Representations and Warranties of the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hereby represents and warrants, as of the date hereof and as of the Closing Date, that each of the following statements is true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caps w:val="false"/>
          <w:smallCaps w:val="false"/>
          <w:sz w:val="20"/>
        </w:rPr>
        <w:t>Accuracy of Disclosure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has filed or furnished, as applicable, on a timely basis, all the SEC Documents. As of their respective effective dates (in the case of the SEC Documents that are registration statements filed pursuant to the requirements of the Securities Act) and as of their respective SEC filing dates (in the case of all other SEC Documents), or in each case, if amended prior to the date hereof, as of the date of the last such amendment: (a) each of the SEC Documents complied in all material respects with the applicable requirements of the listing and corporate governance rules and regulations, and (b) none of the SEC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caps w:val="false"/>
          <w:smallCaps w:val="false"/>
          <w:sz w:val="20"/>
        </w:rPr>
        <w:t>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an entity duly organized or incorporated, validly existing and in good standing (to the extent such concept is applicable) under the laws of its jurisdiction of organization or incorporation and has full right, power and authority to execute and deliver this Agreement and each other Transaction Document to which it is or will be a party, to perform fully its obligations hereunder and thereunder and to consummate the transactions contemplated hereby and thereby. The Buyer has the requisite corporate power and authorization to own, lease and operate its properties and to carry on its business as now being conducted, except which have not had and would not constitute a Buyer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caps w:val="false"/>
          <w:smallCaps w:val="false"/>
          <w:sz w:val="20"/>
        </w:rPr>
        <w:t>Authorization; Due Execution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Buyer of this Agreement and each other Transaction Document to which it is or will be a party and the consummation of the transactions contemplated hereby and thereby have been duly authorized by all necessary action on the part of the Buyer. The Buyer has duly executed and delivered this Agreement and each other Transaction Document to which it is a party, and this Agreement and each such other Transaction Document constitutes a legal, valid and binding obligation of the Buyer enforceable against it in accordance with its terms.</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Buyer of this Agreement and each other Transaction Document to which it is or will be a party and the consummation of the transactions contemplated hereby and thereby do not and will not (with or without the giving of notice, the lapse of time or both) conflict with or result in a violation or breach of, or default under, (a) the Organizational Documents of the Buyer; (b) any Applicable Laws to which the Buyer or any of its properties or assets is subject; (c) any contract, agreement or other instrument applicable to the Buyer or any of its properties or assets, except, in the case of clauses ‎(a) and ‎(b) above, to the extent that such conflict, violation, breach or default, individually or in the aggregate, has not impaired or delayed, and will not impair or delay, the ability of the Buyer to perform its obligations under this Agreement or any other Transaction Document to which it is a party or to consummate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caps w:val="false"/>
          <w:smallCaps w:val="false"/>
          <w:sz w:val="20"/>
        </w:rPr>
        <w:t>Capitalization.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immediately prior to the Closing, the authorised share capital of the Buyer consists of US$20,000,000 divided into 10,000,000,000 ordinary shares, comprising of (i) 8,000,000,000 class A ordinary shares of a nominal or par value of US$0.002 each and (ii) 2,000,000,000 class B ordinary shares of a nominal or par value of US$0.002 each,, of which 50,925,748 Class A ordinary shares and 10,250,000 Class B ordinary shares are issued and outstanding. All of the issued and outstanding shares of the Buyer are duly authorized, validly issued, fully paid and non-assessable.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set forth above in this Section 3.5 and except for the outstanding warrants to purchase 3,156,000 Class A ordinary shares (as adjusted for the June 2026 share consolidation) issued in the Buyer’s July 2025 private placement and 90,000,000 Class A ordinary shares issued in the Buyer’s October 2026 private placement, there are no outstanding (i) shares of capital stock or voting securities of the Buyer, (ii) securities of the Buyer (whether debt or equity) convertible into or exchangeable for shares of capital stock or voting securities of the Buyer, or (iii) preemptive or other outstanding rights, options, warrants, conversion rights, “phantom” stock rights, stock appreciation rights, redemption rights, repurchase rights, agreements, arrangements, calls, commitments or rights of any kind that obligate the Buyer to issue or sell any shares of capital stock or other securities of the Buyer or any securities or obligations convertible or exchangeable into or exercisable for, or giving any Person a right to subscribe for or acquire, any securities of the Buyer, and no securities or obligations evidencing such rights are authorized, issued or outstanding, or (iv) obligations of the Buyer to repurchase, redeem or otherwise acquire any capital stock or equity interests of the Buyer.</w:t>
      </w:r>
    </w:p>
    <w:p>
      <w:pPr>
        <w:pStyle w:val="TextBody"/>
        <w:bidi w:val="0"/>
        <w:spacing w:before="0" w:after="0"/>
        <w:ind w:left="0" w:right="0" w:firstLine="936"/>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0"/>
        <w:ind w:left="0" w:right="0" w:hanging="0"/>
        <w:jc w:val="left"/>
        <w:rPr/>
      </w:pPr>
      <w:r>
        <w:rPr/>
        <w:t> </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has sufficient authorized share capital to issue the Consideration Shares in accordance with this Agreement. The Consideration Shares when issued, allotted, transferred or exchanged, as the case may be, in accordance with the terms and for the consideration set forth in this Agreement, will be issued, allotted, transferred or exchanged, in compliance with Applicable Laws and Organizational Documents, duly authorized, validly issued, fully paid and non-assessable, free and clear of all Liens (except for Liens created or imposed by the Transaction Documents or under applicable securities Laws).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of the Consideration Shares shall not result in, or be reasonably expected to result in, any change of Control of the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Subsidiary of the Buyer has been duly organized, is validly existing and in good standing (to the extent such concept is applicable) under the laws of its jurisdiction of organization or incorporation, and has the requisite corporate power and authorization to own, lease and operate its properties and to carry on its business as now being conducted, except which have not had and would not constitute a Buyer Material Adverse Effect. Each Buyer Group Company is duly qualified or licensed to do business in each jurisdiction in which the property owned, leased or operated by it or the nature of the business conducted by it makes such qualification or licensing necessary, except where the failure to be so qualified or licensed would not, individually or in the aggregate, reasonably be expected to have a Buyer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of the Buyer and its Subsidiaries is being conducted, and has been conducted at any time during the three (3) years prior to the date hereof, in all material respects in accordance with their respective Applicable Laws and other requirements of all Governmental Authorities having jurisdiction over or otherwise applicable to each of the Buyer and its Subsidiaries except as would not, individually or in the aggregate, result in a Buyer Material Adverse Effect.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is, and the consummation of the transactions contemplated by this Agreement will be, in compliance in all material respects with the applicable listing and corporate governance rules and regulations of the SEC and NASDAQ. The Buyer has not taken any action designed to, or reasonably likely to have the effect of, delisting the Buyer’s Class A ordinary shares from NASDAQ. The Buyer has not received from the SEC, NASDAQ and/or any other competent Governmental Authority any notification that the SEC, NASDAQ, and/or any other competent Governmental Authority has determined or is proposing to suspend or terminate such 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caps w:val="false"/>
          <w:smallCaps w:val="false"/>
          <w:sz w:val="20"/>
        </w:rPr>
        <w:t>Governmental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Buyer of this Agreement and any other Transaction Document to which it is or will be a party and the consummation of the transactions contemplated hereby and thereby do not and will not require any Approval issued or granted by, negative clearance from, or expiration or early termination of any waiting period imposed by, any Governmental Authority, except for the notification to NASDAQ on the Listing of Additional Shares form in respect of the Consideration Shares (the “NASDAQ Listing Authorization”) (if applicable and necessary).</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caps w:val="false"/>
          <w:smallCaps w:val="false"/>
          <w:sz w:val="20"/>
        </w:rPr>
        <w:t>Financial Matters.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included in the Buyer Public Reports present fairly and accurately the financial condition of the Buyer Group Companies as of the dates therein indicated and the results of operations for the period or periods therein specified, all in accordance with United States General Accepted Accounting Principle (“US GAAP”) on a consistent basis throughout the periods therein specified (except as otherwise noted therein). The information set forth in the Buyer Public Reports is true and accurate in all material respects.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Buyer Public Reports, none of the Buyer Group Companies is a guarantor or indemnitor of any indebtedness of any other person or entity, nor any Buyer Group Company has any indebtedness or liability (contingent or otherwise) that it has directly or indirectly created, incurred, assumed, or guaranteed, or with respect to which such Buyer Group Company has otherwise become directly or indirectly liable, in each case, except any indebtedness or liability incurred since December 31, 2025 in the ordinary course of business consistent with past practices and/or any indebtedness or liability incurred pursuant to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caps w:val="false"/>
          <w:smallCaps w:val="false"/>
          <w:sz w:val="20"/>
        </w:rPr>
        <w:t>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Group Companies have good and marketable title to all real property and other properties owned by them that is material to the business of the Buyer Group Companies taken as a whole, in each case free and clear of all Liens, except for Liens that do not materially affect the value of such property and do not materially interfere with the use made and proposed to be made of such property by the Buyer Group Companies. Any real property and facilities held under lease by the Buyer Group Companies that are material to the business of the Buyer Group Companies are held by the Buyer Group Companies under valid, subsisting and enforceable leases with which the Buyer Group Companies are in compliance in all material respects.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3.11.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 the Buyer has not altered its method of accounting, and (b) the Buyer has not declared or made any dividend or distribution of cash or other property to its shareholders or purchased, redeemed or made any agreements to purchase or redeem any shares of its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3.12.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is no Proceeding of any nature pending, or, to the Buyer’s Knowledge, threatened, in writing against the Buyer or any of its Subsidiaries, or, to the Buyer’s Knowledge, any of their respective directors or officers in their capacities as such, which would, individually or in the aggregate, have a Buyer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3.13. </w:t>
      </w:r>
      <w:r>
        <w:rPr>
          <w:rFonts w:ascii="Times New Roman;Times;Serif" w:hAnsi="Times New Roman;Times;Serif"/>
          <w:b w:val="false"/>
          <w:i/>
          <w:caps w:val="false"/>
          <w:smallCaps w:val="false"/>
          <w:sz w:val="20"/>
        </w:rPr>
        <w:t>Bankruptcy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not the subject of any insolvency or liquidation Proceeding or any reorganization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3.14. </w:t>
      </w:r>
      <w:r>
        <w:rPr>
          <w:rFonts w:ascii="Times New Roman;Times;Serif" w:hAnsi="Times New Roman;Times;Serif"/>
          <w:b w:val="false"/>
          <w:i/>
          <w:caps w:val="false"/>
          <w:smallCaps w:val="false"/>
          <w:sz w:val="20"/>
        </w:rPr>
        <w:t>Brokers’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investment banker, broker, finder or other intermediary which has been retained by or is authorized to act on behalf of the Buyer or any of its Subsidiaries who would be entitled to any fee or commission in connection with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3.15. </w:t>
      </w:r>
      <w:r>
        <w:rPr>
          <w:rFonts w:ascii="Times New Roman;Times;Serif" w:hAnsi="Times New Roman;Times;Serif"/>
          <w:b w:val="false"/>
          <w:i/>
          <w:caps w:val="false"/>
          <w:smallCaps w:val="false"/>
          <w:sz w:val="20"/>
        </w:rPr>
        <w:t>No Buyer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event, occurrence, development or state of circumstances that has had, has or would reasonably be expected to, individually or aggregately, result in a Buyer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3.16. </w:t>
      </w:r>
      <w:r>
        <w:rPr>
          <w:rFonts w:ascii="Times New Roman;Times;Serif" w:hAnsi="Times New Roman;Times;Serif"/>
          <w:b w:val="false"/>
          <w:i/>
          <w:caps w:val="false"/>
          <w:smallCaps w:val="false"/>
          <w:sz w:val="20"/>
        </w:rPr>
        <w:t>Independent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Buyer has conducted its own independent investigation, review and analysis of the business, operations, assets, liabilities, results of operations, financial condition and prospects of the Sellers and the Target Co. Group Companies, which investigation, review and analysis was done by the Buyer and its Affiliates and representatives. In entering into this Agreement, the Buyer acknowledges that each Seller and its representatives have not made any representations, warranties, estimates or projections, and it has not relied on any representations, warranties, estimates or projections of each Seller or its representatives, other than the representations and warranties of each Seller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Representations and Warranties of the Sellers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Seller hereby represents and warrants, as of the date hereof and as of the Closing Date, that each of the following statements is true and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caps w:val="false"/>
          <w:smallCaps w:val="false"/>
          <w:sz w:val="20"/>
        </w:rPr>
        <w:t>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Sellers and the Target Co. Group Companies is an entity duly organized or incorporated, validly existing and in good standing (to the extent such concept is applicable) under the laws of its jurisdiction of organization or incorporation and has full right, power and authority to execute and deliver this Agreement and each other Transaction Document to which it is or will be a party, to perform fully its obligations hereunder and thereunder and to consummate the transactions contemplated hereby and thereby. Each Target Co. Group Company has the requisite corporate power and authorization to own, lease and operate its properties and to carry on its business as now being conducted, except which have not had and would not constitute a Target Co. Material Adverse Effect.</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caps w:val="false"/>
          <w:smallCaps w:val="false"/>
          <w:sz w:val="20"/>
        </w:rPr>
        <w:t>Authorization; Due Execution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of the Sellers and the Target Co. Group Companies of this Agreement and each other Transaction Document to which it is or will be a party and the consummation of the transactions contemplated hereby and thereby have been duly authorized by all necessary action on the part of it. Each of the Sellers and the Target Co. Group Companies has duly executed and delivered this Agreement and each other Transaction Document to which it is a party, and this Agreement and each such other Transaction Document constitutes a legal, valid and binding obligation of it against it in accordance with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each of the Sellers and the Target Co. Group Companies of this Agreement and each other Transaction Document to which it is or will be a party and the consummation of the transactions contemplated hereby and thereby do not and will not (with or without the giving of notice, the lapse of time or both) conflict with or result in a violation or breach of, or default under, (a) its the Organizational Documents; (b) any Applicable Law to which it or any of its properties or assets is subject; (c) any contract, agreement or other instrument applicable to it or any of its properties or assets, except, in the case of clauses ‎(a) and ‎(b) above, to the extent that such conflict, violation, breach or default, individually or in the aggregate, has not impaired or delayed, and will not impair or delay, the ability of it to perform its obligations under this Agreement or any other Transaction Document to which it is a party or to consummate the transactions contemplated hereby or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caps w:val="false"/>
          <w:smallCaps w:val="false"/>
          <w:sz w:val="20"/>
        </w:rPr>
        <w:t>Capitalization.</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immediately prior to the Closing, the authorized share capital of the Target Co. consists of US$10,000 divided into 10,000 ordinary shares of US$1.0 par value each, all of which are issued and outstanding. All of the issued and outstanding shares of the Target Co. are duly authorized, validly issued, fully paid and non-assessable and owned by the Sellers as of immediately prior to the Closing.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set forth above in this Section 4.4, there are no outstanding (i) shares of capital stock or voting securities of Target Co., (ii) securities of Target Co. (whether debt or equity) convertible into or exchangeable for shares of capital stock or voting securities of Target Co., or (iii) preemptive or other outstanding rights, options, warrants, conversion rights, “phantom” stock rights, stock appreciation rights, redemption rights, repurchase rights, agreements, arrangements, calls, commitments or rights of any kind that obligate Target Co. to issue or sell any shares of capital stock or other securities of Target Co. or any securities or obligations convertible or exchangeable into or exercisable for, or giving any Person a right to subscribe for or acquire, any securities of Target Co., and no securities or obligations evidencing such rights are authorized, issued or outstanding, or (iv) obligations of Target Co. to repurchase, redeem or otherwise acquire any capital stock or equity interests of Target Co..</w:t>
      </w:r>
    </w:p>
    <w:p>
      <w:pPr>
        <w:pStyle w:val="TextBody"/>
        <w:bidi w:val="0"/>
        <w:spacing w:before="0" w:after="0"/>
        <w:ind w:left="0" w:right="0" w:firstLine="936"/>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the Closing, the Buyer shall own the Sale Shares, which shall represent 100% of Target Co.’s then total issued and outstanding shares, on an as-converted and fully-diluted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Target Co. and its Subsidiaries is being conducted, and has been conducted at any time during the three (3) years prior to the date hereof, in all material respects in accordance with their respective Applicable Laws and other requirements of all Governmental Authorities having jurisdiction over or otherwise applicable to each of Target Co. and its Subsidiaries except as would not, individually or in the aggregate, result in a Target Co.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caps w:val="false"/>
          <w:smallCaps w:val="false"/>
          <w:sz w:val="20"/>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Target Co. and its Subsidiaries is being conducted, and has been conducted at any time during the three (3) years prior to the date hereof, in all material respects in accordance with their respective Applicable Laws and other requirements of all Governmental Authorities having jurisdiction over or otherwise applicable to each of Target Co. and its Subsidiaries except as would not, individually or in the aggregate, result in a Target Co.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caps w:val="false"/>
          <w:smallCaps w:val="false"/>
          <w:sz w:val="20"/>
        </w:rPr>
        <w:t>Governmental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by the Sellers and Target Co. of this Agreement and any other Transaction Document to which it is or will be a party and the consummation of the transactions contemplated hereby and thereby do not and will not require any Approval issued or granted by, negative clearance from, or expiration or early termination of any waiting period imposed by, any Governmental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caps w:val="false"/>
          <w:smallCaps w:val="false"/>
          <w:sz w:val="20"/>
        </w:rPr>
        <w:t>Financial Matters.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financial statements of the Target Co. Group Companies as of and for the fiscal years ended December 31, 2024 and December 31, 2025 and the six months ended June 30, 2026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are attached to Section 4.8 of the Disclosure Letter, and present fairly and accurately the financial condition of Target Co. Group Companies as of the dates therein indicated and the results of operations for the period or periods therein specified, all in accordance with US GAAP on a consistent basis throughout the periods therein specified (except as otherwise noted therein). The information set forth in the Financial Statements is true and accurate in all material respects.</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Financial Statements, none of Target Co. Group Companies is a guarantor or indemnitor of any indebtedness of any other person or entity, nor any Target Co. Group Company has any indebtedness or liability (contingent or otherwise) that it has directly or indirectly created, incurred, assumed, or guaranteed, or with respect to which such Target Co. Group Company has otherwise become directly or indirectly liable, in each case, except any indebtedness or liability incurred since December 31, 2025 in the ordinary course of business consistent with past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caps w:val="false"/>
          <w:smallCaps w:val="false"/>
          <w:sz w:val="20"/>
        </w:rPr>
        <w:t>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Group Companies have good and marketable title to all real property and other properties owned by them that is material to the business of Target Co. Group Companies taken as a whole, in each case free and clear of all Liens, except for Liens that do not materially affect the value of such property and do not materially interfere with the use made and proposed to be made of such property by Target Co. Group Companies. Any real property and facilities held under lease by Target Co. Group Companies that are material to the business of Target Co. Group Companies are held by Target Co. Group Companies under valid, subsisting and enforceable leases with which Target Co. Group Companies are in compliance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31, 2025, (a) the Target Co. Group Companies have not altered its method of accounting, and (b) Target Co. has not declared or made any dividend or distribution of cash or other property to its shareholders or purchased, redeemed or made any agreements to purchase or redeem any shares of its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is no Proceeding of any nature pending, or, to the Sellers’ Knowledge, threatened, in writing against Target Co. or any of its Subsidiaries, or, to the Sellers’ Knowledge, any of their respective directors or officers in their capacities as such, which would, individually or in the aggregate, have a Target Co.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Bankruptcy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is not the subject of any insolvency or liquidation Proceeding or any reorganization in any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caps w:val="false"/>
          <w:smallCaps w:val="false"/>
          <w:sz w:val="20"/>
        </w:rPr>
        <w:t>Brokers’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investment banker, broker, finder or other intermediary which has been retained by or is authorized to act on behalf of the Target Co. or any of its Subsidiaries who would be entitled to any fee or commission in connection with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caps w:val="false"/>
          <w:smallCaps w:val="false"/>
          <w:sz w:val="20"/>
        </w:rPr>
        <w:t>No Target Co.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event, occurrence, development or state of circumstances that has had, has or would reasonably be expected to, individually or aggregately, result in a Target Co.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caps w:val="false"/>
          <w:smallCaps w:val="false"/>
          <w:sz w:val="20"/>
        </w:rPr>
        <w:t>Independent Investigation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Seller has conducted its own independent investigation, review and analysis of the business, operations, assets, liabilities, results of operations, financial condition and prospects of the Buyer Group Companies, which investigation, review and analysis was done by each Seller and its Affiliates and representatives. In entering into this Agreement, each Seller acknowledges that the Buyer and its representatives have not made any representations, warranties, estimates or projections, and it has not relied on any representations, warranties, estimates or projections of the Buyer or its representatives, other than the representations and warranties of the Buyer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caps w:val="false"/>
          <w:smallCaps w:val="false"/>
          <w:sz w:val="20"/>
        </w:rPr>
        <w:t>Conditions to the Obligation of the Sellers and the Buyer to Consummate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each of the Sellers and the Buyer, its obligations to consummate the Closing are subject to the satisfaction or waiver by it of the following conditions: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Applicable Law shall have been adopted, promulgated or enforced by any Governmental Authority, and no temporary restraining Order, preliminary or permanent injunction or other Order issued by any Governmental Authority of competent jurisdiction (an “</w:t>
      </w:r>
      <w:r>
        <w:rPr>
          <w:rFonts w:ascii="Times New Roman;Times;Serif" w:hAnsi="Times New Roman;Times;Serif"/>
          <w:b/>
          <w:i w:val="false"/>
          <w:caps w:val="false"/>
          <w:smallCaps w:val="false"/>
          <w:sz w:val="20"/>
        </w:rPr>
        <w:t>Injunction</w:t>
      </w:r>
      <w:r>
        <w:rPr>
          <w:rFonts w:ascii="Times New Roman;Times;Serif" w:hAnsi="Times New Roman;Times;Serif"/>
          <w:b w:val="false"/>
          <w:i w:val="false"/>
          <w:caps w:val="false"/>
          <w:smallCaps w:val="false"/>
          <w:sz w:val="20"/>
        </w:rPr>
        <w:t>”) shall be in effect, having the effect of making the transactions contemplated hereby illegal or otherwise prohibiting the consummation of the transactions contemplated hereby;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Proceeding initiated by any Governmental Authority seeking an Injunction having the effect of making the transactions contemplated hereby illegal or otherwise prohibiting the consummation of the transactions contemplated hereby shall be pending.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caps w:val="false"/>
          <w:smallCaps w:val="false"/>
          <w:sz w:val="20"/>
        </w:rPr>
        <w:t>Other Conditions to the Obligation of the Sellers to Consummate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conditions specified in Section 5.1 above, the Sellers’ obligation to consummate the Closing is also subject to the fulfillment, on or prior to the Closing, of each of the following conditions (any or all of which may be waived by each Seller, in its sole discretion, in whole or in part to the extent permitted by Applicable Laws):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to the Transaction Documents, other than the Sellers, shall have executed and delivered such Transaction Documents to the Sellers;</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set forth in Article 3 shall be true and correct in all material respects (other than the Fundamental Buyer Representations, which shall be true and correct in all respects) on and as of the date hereof and the Closing Date as if made on the Closing Date with reference to facts and circumstances then existing;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shall have performed and complied with, in all material respects, all agreements, obligations and conditions contained in this Agreement that are required to be performed or complied with by it on or before the Closing;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Buyer and its relevant Subsidiaries (if applicable) shall have obtained all relevant corporate and other Approvals and consents required to be obtained by them, including Approvals from any Governmental Authority, directors, creditors and third parties (if applicable) necessary for consummation of the transactions contemplated by this Agreement and any other Transaction Document, and the same shall not have been withdrawn or amended;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have been no Buyer Material Adverse Effect;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stop order suspending the qualification or exemption from qualification of Consideration Shares from trading on the NASDAQ shall have been issued and no Proceeding for that purpose shall have been commenced or shall be pending or threatened;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conditions to consummate the Closing shall have been satisfied or waived by the relevant parties;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Buyer shall have delivered to each Seller a compliance certificate, dated the Closing Date and signed by an authorized representative of the Buyer, certifying that the conditions specified in Section 5.2 have been fulfilled.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herein, the Buyer’s failure to issue the Consideration Shares shall not constitute a breach of this Agreement or trigger any indemnification obligation, if such failure is solely caused by:</w:t>
      </w:r>
    </w:p>
    <w:p>
      <w:pPr>
        <w:pStyle w:val="TextBody"/>
        <w:bidi w:val="0"/>
        <w:spacing w:before="0" w:after="0"/>
        <w:ind w:left="568"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final and non-appealable rejection of the listing application by NASDAQ;</w:t>
      </w:r>
    </w:p>
    <w:p>
      <w:pPr>
        <w:pStyle w:val="TextBody"/>
        <w:bidi w:val="0"/>
        <w:spacing w:before="0" w:after="0"/>
        <w:ind w:left="568"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suspension or termination of the Buyer’s SEC registration status by the SEC; or</w:t>
      </w:r>
    </w:p>
    <w:p>
      <w:pPr>
        <w:pStyle w:val="TextBody"/>
        <w:bidi w:val="0"/>
        <w:spacing w:before="0" w:after="0"/>
        <w:ind w:left="568"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other regulatory action by a Governmental Authority that materially prevents the issuance of the Consideration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caps w:val="false"/>
          <w:smallCaps w:val="false"/>
          <w:sz w:val="20"/>
        </w:rPr>
        <w:t>Other Conditions to the Obligation of the Buyer to Consummate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conditions specified in Section 5.1 above, the Buyer’s obligation to consummate the Closing is also subject to the fulfillment, on or prior to the Closing, of each of the following conditions (any or all of which may be waived by the Buyer, in its sole discretion, in whole or in part to the extent permitted by Applicable Laws):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to the Transaction Documents, other than the Buyer, shall have executed and delivered such Transaction Documents to the Buyer;</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representations and warranties set forth in Article 4 shall be true and correct in all material respects (other than the Fundamental Seller Representations, which shall be true and correct in all respects) on and as of the date hereof and the Closing Date as if made on the Closing Date with reference to facts and circumstances then existing;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Seller shall have performed and complied with, in all material respects, all agreements, obligations and conditions contained in this Agreement that are required to be performed or complied with by it on or before the Closing;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Seller and Target Co. Group Companies shall have obtained all relevant corporate and other Approvals and consents required to be obtained by them, including Approvals from any Governmental Authority, directors, creditors and third parties (if applicable) necessary for consummation of the transactions contemplated by this Agreement and any other Transaction Document, and the same shall not have been withdrawn or amended;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have been no Target Co. Material Adverse Effect;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Buyer shall have received the financial statements of the Target Group described in Section 6.9, and such financial statements shall meet the requirements of Rule 3-05 of Regulation S-X for inclusion in the Buyer’s filings with the SEC;</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conditions to consummate the Share Issuance shall have been satisfied or waived by the relevant parties; and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Seller shall have delivered to the Buyer a compliance certificate, dated the Closing Date and signed by an authorized representative of each Seller, certifying that the conditions specified in Section 5.3 have been fulfilled.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caps w:val="false"/>
          <w:smallCaps w:val="false"/>
          <w:sz w:val="20"/>
        </w:rPr>
        <w:t>Conduct of Business Pending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commencing from the date of this Agreement up to the earlier of (x) the Closing Date, and (y) the termination of this Agreement in accordance with Article 8 (the “</w:t>
      </w:r>
      <w:r>
        <w:rPr>
          <w:rFonts w:ascii="Times New Roman;Times;Serif" w:hAnsi="Times New Roman;Times;Serif"/>
          <w:b/>
          <w:i w:val="false"/>
          <w:caps w:val="false"/>
          <w:smallCaps w:val="false"/>
          <w:sz w:val="20"/>
        </w:rPr>
        <w:t>Relevant Period</w:t>
      </w:r>
      <w:r>
        <w:rPr>
          <w:rFonts w:ascii="Times New Roman;Times;Serif" w:hAnsi="Times New Roman;Times;Serif"/>
          <w:b w:val="false"/>
          <w:i w:val="false"/>
          <w:caps w:val="false"/>
          <w:smallCaps w:val="false"/>
          <w:sz w:val="20"/>
        </w:rPr>
        <w:t>”), Target Co. Group Companies shall use their commercially reasonable efforts to continue to engage in business in the ordinary and normal course, consistent with past practice. During the Relevant Period, except as consented to in writing by each Seller, the Buyer shall not (i) declare or make any dividend or distribution of cash or other property to its shareholders or purchased, redeemed or made any agreements to purchase or redeem any shares of its capital stock, or (ii) issue any equity securities to any officer, director, employee or Affiliate of the Buyer and its Subsidiaries, except pursuant to existing stock option plans.</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caps w:val="false"/>
          <w:smallCaps w:val="false"/>
          <w:sz w:val="20"/>
        </w:rPr>
        <w:t>Notification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Co. and each Seller shall notify the Buyer, and the Buyer shall notify each of Target Co. and each Seller, promptly upon becoming aware of (A) any material adverse change in the business, operations, assets or financial condition of Target Co. Group Companies or the Buyer Group Companies, (B) any material breach of any major contract or material default under any material commitment or arrangement to which any Target Co. Group Company or any Buyer Group Company is a party, (C) any litigation, arbitration, administrative or other proceeding concerning or affecting any Target Co. Group Company or any Buyer Group Company which is current, threatened or pending and is or would reasonably be expected to be material to the Target Co. Group Companies taken as a whole or the Buyer Group Companies taken as a whole, (D) any event, circumstance or matter which has had or is reasonably likely to have a Target Co. Material Adverse Effect or Buyer Material Adverse Effect, as the case may be, and/or (E) any event, circumstance or matter which has caused or is reasonably likely to cause any breach of any representation, warranty, covenant or agreement in respect of Target Co. / each Seller or the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caps w:val="false"/>
          <w:smallCaps w:val="false"/>
          <w:sz w:val="20"/>
        </w:rPr>
        <w:t>Required Consents; Communications with Governmental Authorities.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each Party shall use its reasonable best efforts to take, or cause to be taken, all actions and to do, or cause to be done, all things necessary or desirable under Applicable Laws to consummate the transactions contemplated by this Agreement and any other Transaction Document, including (i) determining whether any approval, consent, registration, permit, authorization, other confirmation, waiver or other action from or by any Governmental Authority or counterparty to any contract of such Party is necessary or advisable in connection with the consummation of the transactions contemplated by this Agreement or any other Transaction Document (collectively, “</w:t>
      </w:r>
      <w:r>
        <w:rPr>
          <w:rFonts w:ascii="Times New Roman;Times;Serif" w:hAnsi="Times New Roman;Times;Serif"/>
          <w:b/>
          <w:i w:val="false"/>
          <w:caps w:val="false"/>
          <w:smallCaps w:val="false"/>
          <w:sz w:val="20"/>
        </w:rPr>
        <w:t>Required Consents</w:t>
      </w:r>
      <w:r>
        <w:rPr>
          <w:rFonts w:ascii="Times New Roman;Times;Serif" w:hAnsi="Times New Roman;Times;Serif"/>
          <w:b w:val="false"/>
          <w:i w:val="false"/>
          <w:caps w:val="false"/>
          <w:smallCaps w:val="false"/>
          <w:sz w:val="20"/>
        </w:rPr>
        <w:t>”); (ii) taking any actions in respect of, giving any notice to and preparing and making any filings with, any Governmental Authority or other third party in respect of any Required Consent as promptly as practicable following the date hereof and furnishing all information or other documentation required in connection with such action, notice or filing; and (iii) taking such further steps as may be required to timely obtain and maintain each Required Consent, including by using reasonable best efforts to obtain the early termination of any applicable waiting period.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permitted by Applicable Laws or any relevant Governmental Authority, and subject to all applicable privileges, including the attorney-client privilege, each Party shall (i) give to the other Parties prompt notice upon obtaining knowledge of the making or commencement of any request, inquiry or Proceeding by or before any Governmental Authority with respect to the transactions contemplated hereby or by any other Transaction Document; (ii) keep the other Parties informed as to the status of any such request, inquiry or Proceeding; and (iii) promptly inform the other Parties of any communication to or from any Governmental Authority regarding the transactions contemplated hereby or by any other Transaction Document. Each Party shall consult and cooperate with, and consider in good faith the views of, the other Parties (to the extent practicable) throughout any defense of the transactions contemplated by this Agreement and any other Transaction Document.</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(the “</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 shall keep confidential, shall cause its Affiliates, and its and their respective counsels, financial advisors, auditors and other authorized representatives, including, without limitation, their agents, employees, officers, and directors (collectively,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to keep confidential, the existence of the Transaction Documents and the transactions contemplated under the Transaction Documents, the negotiations relating to any Transaction Document, and the terms and conditions hereof and of any other Transaction Document, and any non-public information relating to any other Party and its Representatives (collectively, the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except as such other Parties agree in writing otherwise; provided that the Recipient may disclose any Confidential Information (i) to the extent that such disclosure is required by Applicable Laws and/or the rules of any stock exchange, and so long as, where such disclosure is to a Governmental Authority or stock exchange, such Party shall use all reasonable efforts to obtain confidential treatment of the Confidential Information so disclosed, to the extent permissible under the Applicable Laws and/or the rules of any stock exchange, or (ii) to its professional advisors participating in the negotiation and implementation of the Transaction Documents so long as each such professional advisor to whom the Confidential Information is so disclosed agree to keep such Confidential Information confidential, or (iii) to its Representatives as necessary to the performance of its obligations in connection with any Transaction Document, in each case so long as each such Person to whom the Confidential Information is so disclosed agrees to keep such Confidential Information confidential.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take all reasonable actions and provide all such reasonable assurances as may be required to consummate the transactions contemplated by this Agreement and any other Transaction Document, and each Party shall provide such further documents or instruments reasonably required by any other Party or desirable to effect the purposes of this Agreement and any other Transaction Document and to carry out their respective provisions. For the avoidance of doubt, nothing in this Section 6.5 shall be construed to be obligated to waive the relevant conditions precedent to its obligations to consummate the Closing, which shall be determined by each of the relevant Parties at its sole discretion and not be subject to this Section 6.5.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caps w:val="false"/>
          <w:smallCaps w:val="false"/>
          <w:sz w:val="20"/>
        </w:rPr>
        <w:t>Public Announcements.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will, to the extent permitted by Applicable Laws, consult with each other before issuance, and provide each other with the opportunity to review, comment on, and use all reasonable efforts to agree on, any press release or other public disclosure with respect to this Agreement and the other Transaction Documents and the transactions contemplated hereby and thereby, and will not (to the extent practicable) issue any such press release or make any such public disclosure prior to such consultation and agreement, except that disclosure made by a Party without having reached such agreement despite consultation shall be permissible if the substance and timing of the disclosure are necessary to comply with the Applicable Laws or an applicable securities exchange rules and regulations, provided that the disclosing Party shall, to the extent permitted by Applicable Laws or the applicable securities exchange rules and regulations and if reasonably practicable, inform the other Parties of the disclosure to be made pursuant to such requirements prior to the disclosure. Subject to Applicable Laws, the Parties shall use all reasonable efforts to promptly provide or cause to be promptly provided information and documents as requested by the NASDAQ, the SEC or any other competent Governmental Authority or that are necessary or advisable to comply with the Applicable Laws and the rules and regulations of any applicable securities exchange and permit consummation of the transactions contemplated hereunder.</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transfer, documentary, sales, use, stamp, registration, value added, and other such tax and fees (including any penalties and interest) incurred by and imposed on a Party in connection with this Agreement shall be borne and paid by such Party when due. Each Party shall, if applicable, at its own expense, timely file any Tax Return or other document with respect to such tax or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caps w:val="false"/>
          <w:smallCaps w:val="false"/>
          <w:sz w:val="20"/>
        </w:rPr>
        <w:t>Lock-Up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 with the prior written consent of the board of the Buyer; or (ii) transferring to the respective wholly-owned Subsidiary (in which case such transferee shall be bound by the similar lock-up provisions as hereof), each of the Sellers shall not, directly or indirectly, transfer, sell, assign, pledge, or other disposal of any Consideration Share at any time on or before the expiry of a 60-month period after the Closing Date.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caps w:val="false"/>
          <w:smallCaps w:val="false"/>
          <w:sz w:val="20"/>
        </w:rPr>
        <w:t>Survival.</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Fundamental Seller Representations and the Fundamental Buyer Representations shall survive indefinitely or until the latest date permitted by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representations and warranties contained in this Agreement other than the Fundamental Seller Representations and the Fundamental Buyer Representations, shall survive the Closing until eighteen (18) months following the Closing Date.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clauses ‎(a) and ‎(b), any breach of any representation, warranty, covenant or agreement in respect of which indemnity may be sought under this Agreement shall survive the time at which it would otherwise terminate pursuant to the clauses ‎(a) and ‎(b) above, if notice of the inaccuracy or breach thereof giving rise to such right of indemnity shall have been given to the party against whom such indemnity may be sought prior to such time.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in this Agreement shall limit or exclude any liability for fraud or willful misrepresentation.</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caps w:val="false"/>
          <w:smallCaps w:val="false"/>
          <w:sz w:val="20"/>
        </w:rPr>
        <w:t>Indemnification by the 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Buyer shall indemnify and hold harmless each Seller and its Affiliates and their respective officers, directors, employees, agents, successors and assigns (each, a “</w:t>
      </w:r>
      <w:r>
        <w:rPr>
          <w:rFonts w:ascii="Times New Roman;Times;Serif" w:hAnsi="Times New Roman;Times;Serif"/>
          <w:b/>
          <w:i w:val="false"/>
          <w:caps w:val="false"/>
          <w:smallCaps w:val="false"/>
          <w:sz w:val="20"/>
        </w:rPr>
        <w:t>Seller Indemnified Party</w:t>
      </w:r>
      <w:r>
        <w:rPr>
          <w:rFonts w:ascii="Times New Roman;Times;Serif" w:hAnsi="Times New Roman;Times;Serif"/>
          <w:b w:val="false"/>
          <w:i w:val="false"/>
          <w:caps w:val="false"/>
          <w:smallCaps w:val="false"/>
          <w:sz w:val="20"/>
        </w:rPr>
        <w:t>”) for and against any and all Liabilities, losses, damages, claims, costs and expenses, interest, awards, judgments and penalties (including reasonable and documented attorneys’ and consultants’ fees and expenses) (each, a “</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suffered or incurred by them (including any action brought or otherwise initiated by any of them), arising out of or resulting from: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or violation of, or inaccuracy in, any representation or warranty made by the Buyer under this Agreement or any claim by any third party alleging, constituting or involving such a breach, violation or inaccuracy;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violation of, or failure to perform, any covenants or agreements made by or on behalf of, or to be performed by, the Buyer under this Agreement or any claim by any third party alleging, constituting or involving such a breach, violation or failure to perform.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caps w:val="false"/>
          <w:smallCaps w:val="false"/>
          <w:sz w:val="20"/>
        </w:rPr>
        <w:t>Limits on Indemnification by the Buyer</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not be liable to the Seller Indemnified Parties for indemnification under ‎Section 7.2 until the aggregate amount of all Losses in respect of indemnification under Section 7.2 exceeds $3.0 million (the “</w:t>
      </w:r>
      <w:r>
        <w:rPr>
          <w:rFonts w:ascii="Times New Roman;Times;Serif" w:hAnsi="Times New Roman;Times;Serif"/>
          <w:b/>
          <w:i w:val="false"/>
          <w:caps w:val="false"/>
          <w:smallCaps w:val="false"/>
          <w:sz w:val="20"/>
        </w:rPr>
        <w:t>Buyer Deductible</w:t>
      </w:r>
      <w:r>
        <w:rPr>
          <w:rFonts w:ascii="Times New Roman;Times;Serif" w:hAnsi="Times New Roman;Times;Serif"/>
          <w:b w:val="false"/>
          <w:i w:val="false"/>
          <w:caps w:val="false"/>
          <w:smallCaps w:val="false"/>
          <w:sz w:val="20"/>
        </w:rPr>
        <w:t>”), in which event the Buyer shall only be required to pay or be liable for Losses in excess of the Buyer Deductible. With respect to any claim as to which a Seller Indemnified Party may be entitled to indemnification under Section 7.2, the Buyer shall not be liable for any individual or series of related Losses which do not exceed US$100,000 (which Losses shall not be counted toward the Buyer Deductible).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shall the Buyer be liable to any Seller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aggregate liability of the Buyer to the Seller Indemnified Parties with respect to all indemnification claims pursuant to this Section 7.2 shall not exceed $30.0 million.</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Payments by the Buyer pursuant to Section 7.2 in respect of any Loss shall be limited to the amount of any liability or damage that remains after deducting therefrom any insurance proceeds and any indemnity, contribution or other similar payment received or reasonably expected to be received by the Seller Indemnified Parties in respect of any such claim.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Payments by the Buyer pursuant to Section 7.2 in respect of any Loss shall be reduced by an amount equal to any tax benefit realized or reasonably expected to be realized as a result of such Loss by the relevant Seller Indemnified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caps w:val="false"/>
          <w:smallCaps w:val="false"/>
          <w:sz w:val="20"/>
        </w:rPr>
        <w:t>Indemnification by the Sellers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Sellers shall indemnify and hold harmless the Buyer and its Affiliates and their respective officers, directors, employees, agents, successors and assigns (each, a “</w:t>
      </w:r>
      <w:r>
        <w:rPr>
          <w:rFonts w:ascii="Times New Roman;Times;Serif" w:hAnsi="Times New Roman;Times;Serif"/>
          <w:b/>
          <w:i w:val="false"/>
          <w:caps w:val="false"/>
          <w:smallCaps w:val="false"/>
          <w:sz w:val="20"/>
        </w:rPr>
        <w:t>Buyer Indemnified Party</w:t>
      </w:r>
      <w:r>
        <w:rPr>
          <w:rFonts w:ascii="Times New Roman;Times;Serif" w:hAnsi="Times New Roman;Times;Serif"/>
          <w:b w:val="false"/>
          <w:i w:val="false"/>
          <w:caps w:val="false"/>
          <w:smallCaps w:val="false"/>
          <w:sz w:val="20"/>
        </w:rPr>
        <w:t>”; the Buyer Indemnified Parties together with the Seller Indemnified Parties, collectively,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for and against any and all Losses actually suffered or incurred by them (including any action brought or otherwise initiated by any of them), arising out of or resulting from: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breach or violation of, or inaccuracy in, any representation or warranty made by the Sellers under this Agreement or any claim by any third party alleging, constituting or involving such a breach, violation or inaccuracy; or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violation of, or failure to perform, any covenants or agreements made by or on behalf of, or to be performed by, the Sellers under this Agreement or any claim by any third party alleging, constituting or involving such a breach, violation or failure to perform.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caps w:val="false"/>
          <w:smallCaps w:val="false"/>
          <w:sz w:val="20"/>
        </w:rPr>
        <w:t>Limits on Indemnification by the Sellers</w:t>
      </w:r>
      <w:r>
        <w:rPr>
          <w:rFonts w:ascii="Times New Roman;Times;Serif" w:hAnsi="Times New Roman;Times;Serif"/>
          <w:b w:val="false"/>
          <w:i w:val="false"/>
          <w:caps w:val="false"/>
          <w:smallCaps w:val="false"/>
          <w:sz w:val="20"/>
        </w:rPr>
        <w: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Sellers shall not be liable to the Buyer Indemnified Parties for indemnification under ‎Section 7.4 until the aggregate amount of all Losses in respect of indemnification under ‎Section 7.4 exceeds $3.0 million (the “</w:t>
      </w:r>
      <w:r>
        <w:rPr>
          <w:rFonts w:ascii="Times New Roman;Times;Serif" w:hAnsi="Times New Roman;Times;Serif"/>
          <w:b/>
          <w:i w:val="false"/>
          <w:caps w:val="false"/>
          <w:smallCaps w:val="false"/>
          <w:sz w:val="20"/>
        </w:rPr>
        <w:t>Seller Deductible</w:t>
      </w:r>
      <w:r>
        <w:rPr>
          <w:rFonts w:ascii="Times New Roman;Times;Serif" w:hAnsi="Times New Roman;Times;Serif"/>
          <w:b w:val="false"/>
          <w:i w:val="false"/>
          <w:caps w:val="false"/>
          <w:smallCaps w:val="false"/>
          <w:sz w:val="20"/>
        </w:rPr>
        <w:t>”), in which event the Sellers shall only be required to pay or be liable for Losses in excess of the Sellers Deductible. With respect to any claim as to which a Buyer Indemnified Party may be entitled to indemnification under Section 7.4, the Sellers shall not be liable for any individual or series of related Losses which do not exceed US$100,000 (which Losses shall not be counted toward the Seller Deductible).</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no event shall the Sellers be liable to any Buyer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aggregate liability of the Sellers to the Buyer Indemnified Parties with respect to all indemnification claims pursuant to this Section 7.4 shall not exceed US$30.0 million.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Payments by the Sellers pursuant to Section 7.4 in respect of any Loss shall be limited to the amount of any liability or damage that remains after deducting therefrom any insurance proceeds and any indemnity, contribution or other similar payment received or reasonably expected to be received by the Buyer Indemnified Parties in respect of any such claim.</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Payments by the Sellers pursuant to Section 7.4 in respect of any Loss shall be reduced by an amount equal to any tax benefit realized or reasonably expected to be realized as a result of such Loss by the relevant Buyer Indemnified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caps w:val="false"/>
          <w:smallCaps w:val="false"/>
          <w:sz w:val="20"/>
        </w:rPr>
        <w:t>Mitigation.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and each Seller shall take, and cause each applicable Indemnified Party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caps w:val="false"/>
          <w:smallCaps w:val="false"/>
          <w:sz w:val="20"/>
        </w:rPr>
        <w:t>Sole Remedy; 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contained herein, the remedies contained in this Article 7 shall be the sole and exclusive monetary remedy of the Indemnified Parties for any claim arising out of or resulting from this Agreement, except that no limitation or exceptions with respect to the obligations or liabilities on any Party provided hereunder (including, without limitation, the limitations set forth in Section 7.3 and Section 7.5) shall apply to the extent that such Losses arise or are increased as the consequence of any fraud or willful misrepresentation by the Buyer or each Seller. Nothing in this Article 7 or elsewhere in this Agreement shall affect any Party’s rights to specific performance or other equitable or non-monetary remedies with respect to the covenants and agreements in this Agreement or that are to be performed at or after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except in the case of fraud, nothing contained herein shall permit any party to rescind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caps w:val="false"/>
          <w:smallCaps w:val="false"/>
          <w:sz w:val="20"/>
        </w:rPr>
        <w:t>Third Party Claims.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third party shall notify an Indemnified Party in writing with respect to any matter involving a claim by such third party (a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and such Indemnified Party believes such claim would give rise to a claim for indemnification against the Indemnifying Party under this Article 7, then the Indemnified Party shall promptly (i) notify the Indemnifying Party thereof in writing and (ii) transmit to the Indemnifying Party a written notice (“</w:t>
      </w:r>
      <w:r>
        <w:rPr>
          <w:rFonts w:ascii="Times New Roman;Times;Serif" w:hAnsi="Times New Roman;Times;Serif"/>
          <w:b/>
          <w:i w:val="false"/>
          <w:caps w:val="false"/>
          <w:smallCaps w:val="false"/>
          <w:sz w:val="20"/>
        </w:rPr>
        <w:t>Claim Notice</w:t>
      </w:r>
      <w:r>
        <w:rPr>
          <w:rFonts w:ascii="Times New Roman;Times;Serif" w:hAnsi="Times New Roman;Times;Serif"/>
          <w:b w:val="false"/>
          <w:i w:val="false"/>
          <w:caps w:val="false"/>
          <w:smallCaps w:val="false"/>
          <w:sz w:val="20"/>
        </w:rPr>
        <w:t>”) describing in reasonable detail, to the extent reasonably practicable, the nature of the Third Party Claim, a copy of all papers served with respect to such claim (if any), and the basis of the Indemnified Party’s request for indemnification under this Agreement. The failure to so notify the Indemnifying Party shall not relieve the Indemnifying Party of its obligations hereunder.</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receipt of a Claim Notice with respect to a Third Party Claim, the Indemnifying Party shall have the right to assume the defense of any Third Party Claim by, within thirty (30) days of receipt of the Claim Notice, notifying the Indemnified Party in writing that the Indemnifying Party elects to assume the defense of such Third Party Claim, and upon delivery of such notice by the Indemnifying Party, the Indemnifying Party shall have the right to control and settle the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any such settlement or compromise shall be permitted hereunder only with the written consent of the Indemnified Party which consent shall not be unreasonably withheld or delayed, and (ii) and the Indemnifying Party shall keep the Indemnified Party reasonably informed of the progress of such defense on a regular basis.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requested by the Indemnifying Party, the Indemnified Party shall, at the sole cost and expense of the Indemnifying Party, cooperate with the Indemnifying Party and its counsel in contesting any Third Party Claim which the Indemnifying Party elects to contest, including the making of any related counterclaim against the person asserting the Third Party Claim or any cross complaint against any person. The Indemnified Party shall have the right to receive copies of all pleadings, notices and communications with respect to any Third Party Claim for which indemnity is sought under this Agreement, other than any privileged communications between the Indemnifying Party and its counsel, and shall be entitled, at its sole cost and expense, to retain separate co-counsel and participate in, but not control, any defense or settlement (except for its consent required under Section 7.8(b) above) of any Third Party Claim assumed by the Indemnifying Party pursuant to Section 7.8(b).</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of a Third Party Claim for which the Indemnifying Party elects not to assume the defense or fails to make such an election within thirty (30) days of the Claim Notice, the Indemnified Party may, at its option, defend, settle, compromise or pay such action or claim at the expense of the Indemnifying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settlement or compromise shall be permitted hereunder only with the written consent of the Indemnifying Party, which consent shall not be unreasonably withheld or delayed.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caps w:val="false"/>
          <w:smallCaps w:val="false"/>
          <w:sz w:val="20"/>
        </w:rPr>
        <w:t>Termination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Closing: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the Buyer or each Seller;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the Buyer or each Seller, if the Closing has not occurred by the Long Stop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Party whose breach of any provision of this Agreement would give rise to the failure of the Closing to have been occurred by the Long Stop Date shall not have the right to terminate this Agreement; or</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Buyer or each Seller in the event that: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shall be any Applicable Law that makes consummation of the transactions contemplated by this Agreement illegal or otherwise prohibited;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Governmental Authority shall have issued an Order restraining or enjoining the transactions contemplated by this Agreement, and such Order shall have become final and non-appealable.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caps w:val="false"/>
          <w:smallCaps w:val="false"/>
          <w:sz w:val="20"/>
        </w:rPr>
        <w:t>Effects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as provided under this Section 8.1, this Agreement will be of no further force or effect upon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termination will not relieve any Party from any liability for any antecedent breach of this Agreement, and (ii) Section 6.4, Section 6.6, Section 6.7, Article 7, Section 8.2, Section 9.2, Section 9.6, ‎Section 9.7, Section 9.8, ‎Section 9.9 and Section 9.12 shall survive the termination of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Miscellaneous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other Transaction Documents constitute the entire agreement between the Parties with respect to the subject matter hereof and thereof and supersede and cancel all prior agreements, understandings, representations and warranties, both oral and written, between the Parties with respect thereto, and there are no agreements, undertakings, representations or warranties of any of the Parties with respect to the transactions contemplated hereby and thereby other than those set forth herein or therein or made hereunder or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requests, claims, demands and other communications under this Agreement shall be in writing and shall be given or made (and shall be deemed to have been duly given or made upon receipt) by delivery in person, by next-day or second-day courier service, or by electronic mail to the respective Parties at the following addresses: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Room 01, Building 10, Jinzhong Guobin Hui Qinyuan 2nd Road,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 Shenzhen, 518055, People’s Republic of China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luanmingxiu@aifugroup.com</w:t>
        <w:br/>
        <w:t>Attention: Mingxiu Luan</w:t>
      </w:r>
    </w:p>
    <w:p>
      <w:pPr>
        <w:pStyle w:val="TextBody"/>
        <w:bidi w:val="0"/>
        <w:spacing w:before="0" w:after="0"/>
        <w:ind w:left="0" w:right="0" w:firstLine="72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Sunrise Capital Partners Ltd.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Ballet Holding Ltd.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br/>
        <w:t>Attention: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Timber Management Limited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Modern Holding Ltd.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notice is sent by delivery in person, such notice shall be deemed received upon the delivery. Where a notice is sent by next-day or second-day courier service, such notice shall be deemed received by properly addressing, pre-paying and sending by next-day or second-day service through an internationally-recognized courier a letter containing the notice, with a written confirmation of delivery, at the earlier of (i) delivery (or when delivery is refused) and (ii) expiration of three (3) Business Days after the letter containing the same is sent as aforesaid. Where a notice is sent by electronic mail, such notice shall be deemed received by properly addressing, with a written confirmation of delivery, and on the day the same is sent as aforesaid, if such day is a Business Day and if sent during normal business hours of the recipient, otherwise the next Business Day. Notwithstanding the foregoing, to the extent a “with a copy to” address is designated, notice must also be given to such address in the manner above for such notice, request, consent or other communication hereunder to be effective.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notify each other Party of any change to its name, appropriate addressee, address or e-mail address for the purposes of this ‎Section 9.2 by delivering a notice in accordance with the terms of this ‎Section 9.2.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caps w:val="false"/>
          <w:smallCaps w:val="false"/>
          <w:sz w:val="20"/>
        </w:rPr>
        <w:t>Amendment;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only by a written instrument executed by each of the Parties. References herein to this Agreement shall include any amendment or renewal hereof. Any Party may waive any right of such Party under this Agreement by an instrument signed in writing by such Party. Except as specifically provided herein, the failure or delay of any Party to enforce at any time any of the provisions of this Agreement shall in no way be construed to be a waiver of any such provision or to affect the validity of this Agreement or any part hereof or the right of any Party thereafter to enforce each such provision. No waiver of any breach of, or non-compliance with, this Agreement shall be deemed a waiver of any other or subsequent breach or non-compliance. Except as specifically provided herein, all remedies, either under this Agreement or under Applicable Laws or otherwise afforded, shall be cumulative and not alternative.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provision of this Agreement is intended to be severable. If any term or provision hereof is declared or held illegal or invalid, in whole or in part, for any reason whatsoever, such illegality or invalidity shall not affect the validity or enforceability of the remainder of the Agreement, and such provision shall be deemed amended or modified only to the extent necessary to cure such illegality or invalidity. Upon such determination of illegality or invalidity, the Parties shall negotiate in good faith to amend this Agreement to effect the original intent of the Parties. The invalidity or unenforceability of any provision of this Agreement in any jurisdiction shall not affect the validity or enforceability of the remainder of this Agreement in that jurisdiction or the validity or enforceability of this Agreement, including that provision, in any other competent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caps w:val="false"/>
          <w:smallCaps w:val="false"/>
          <w:sz w:val="20"/>
        </w:rPr>
        <w:t>Non-assignment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Agreement shall be binding upon and inure to the benefit of the Parties and their respective successors and permitted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this Agreement nor any right, remedy or Liability arising hereunder or by reason hereof may be assigned, delegated or otherwise transferred by any Party to any Person without the prior written consent of each other Party, except to any Affiliate (in which case such Party and its applicable Affiliate shall each be jointly and severally liable for their respective obligations) of such Party. Any assignment in violation of this Section 9.5 shall be null and void and of no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Hong Kong, without regard to its principles of conflicts of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caps w:val="false"/>
          <w:smallCaps w:val="false"/>
          <w:sz w:val="20"/>
        </w:rPr>
        <w:t>Dispute Resolution.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dispute arising out of or in connection with this Agreement, including any question regarding its existence, validity or termination, shall be referred to and finally resolved by arbitration administered by the Hong Kong International Arbitration Centre (HKIAC) under the HKIAC Administered Arbitration Rules (the “</w:t>
      </w:r>
      <w:r>
        <w:rPr>
          <w:rFonts w:ascii="Times New Roman;Times;Serif" w:hAnsi="Times New Roman;Times;Serif"/>
          <w:b/>
          <w:i w:val="false"/>
          <w:caps w:val="false"/>
          <w:smallCaps w:val="false"/>
          <w:sz w:val="20"/>
        </w:rPr>
        <w:t>HKIAC Rules</w:t>
      </w:r>
      <w:r>
        <w:rPr>
          <w:rFonts w:ascii="Times New Roman;Times;Serif" w:hAnsi="Times New Roman;Times;Serif"/>
          <w:b w:val="false"/>
          <w:i w:val="false"/>
          <w:caps w:val="false"/>
          <w:smallCaps w:val="false"/>
          <w:sz w:val="20"/>
        </w:rPr>
        <w:t>”) in force when the notice of arbitration is submitted in accordance with the HKIAC Rules. The HKIAC Rules are deemed to be incorporated by reference to this clause. The tribunal shall be comprised of three (3) arbitrators. The claimant and respondent shall each nominate one (1) arbitrator and the third, who shall serve as president of the tribunal, shall be nominated by the Party-nominated arbitrators. The arbitration shall be conducted in English. Each Party irrevocably and unconditionally consents to such arbitration as the sole and exclusive method of resolving any dispute arising out of or in connection with this Agreement, including any question regarding its existence, validity or termination, other than any proceedings to seek the remedies of specific performance as contemplated by ‎‎Section 9.9.</w:t>
      </w:r>
    </w:p>
    <w:p>
      <w:pPr>
        <w:pStyle w:val="TextBody"/>
        <w:bidi w:val="0"/>
        <w:spacing w:before="0" w:after="0"/>
        <w:ind w:left="0" w:right="0" w:firstLine="108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award of the arbitral tribunal shall be final and binding on the Parties. The Parties agree that they will not have recourse to any judicial proceedings, in any jurisdiction whatsoever, for the purpose of seeking appeal, annulment, setting aside, modification or any diminution or impairment of its terms or effect insofar as such exclusion can validly be made. Judgment upon any award rendered may be entered in any court having jurisdiction thereof, or application may be made to such court for a judicial acceptance of the award, injunction and an Order of enforcement,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caps w:val="false"/>
          <w:smallCaps w:val="false"/>
          <w:sz w:val="20"/>
        </w:rPr>
        <w:t>Performance Pending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terminated in accordance with the terms hereof, this Agreement and the rights and obligations of the Parties hereunder shall remain in full force and effect during the pendency of any proceeding under ‎‎Section 9.7.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irreparable damage would occur if any provision of this Agreement were not performed in accordance with the terms hereof and that, prior to the termination of this Agreement in accordance with ‎‎‎‎Section 9.7, each Party shall be entitled to specific performance of the terms hereof. It is accordingly agreed that prior to such termination, each Party shall be entitled to an injunction or injunctions to prevent such breaches of this Agreement and to enforce specifically (without proof of actual damages or harm, and not subject to any requirement for the securing or posting of any bond in connection therewith) such terms and provisions of this Agreement, this being in addition to any other remedy to which each Party is entitled at law or in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and by the Parties on separate counterparts, each of which shall be an original but all of which together shall constitute one and the same instrument. A “PDF” signature shall be considered due execution and shall be binding upon the signatory thereto with the same force and effect as if the signature were an original.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caps w:val="false"/>
          <w:smallCaps w:val="false"/>
          <w:sz w:val="20"/>
        </w:rPr>
        <w:t>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in this Agreement, there are no third-party beneficiaries of this Agreement and nothing in this Agreement, express or implied, is intended to confer on any third party any rights, remedies or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set forth in this Agreement, each Party shall bear the taxes, costs and expenses incurred by it in connection with negotiating this Agreement and any other Transaction Document and in preparing and implementing this Agreement, any other Transaction Document and the transactions contemplated hereby and thereby.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320"/>
        <w:gridCol w:w="1730"/>
      </w:tblGrid>
      <w:tr>
        <w:trPr/>
        <w:tc>
          <w:tcPr>
            <w:tcW w:w="75" w:type="dxa"/>
            <w:tcBorders/>
            <w:vAlign w:val="center"/>
          </w:tcPr>
          <w:p>
            <w:pPr>
              <w:pStyle w:val="TableContents"/>
              <w:bidi w:val="0"/>
              <w:spacing w:before="0" w:after="283"/>
              <w:jc w:val="left"/>
              <w:rPr/>
            </w:pPr>
            <w:r>
              <w:rPr/>
              <w:t> </w:t>
            </w:r>
          </w:p>
        </w:tc>
        <w:tc>
          <w:tcPr>
            <w:tcW w:w="205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tc>
      </w:tr>
      <w:tr>
        <w:trPr/>
        <w:tc>
          <w:tcPr>
            <w:tcW w:w="75" w:type="dxa"/>
            <w:tcBorders/>
            <w:vAlign w:val="center"/>
          </w:tcPr>
          <w:p>
            <w:pPr>
              <w:pStyle w:val="TableContents"/>
              <w:bidi w:val="0"/>
              <w:spacing w:before="0" w:after="283"/>
              <w:jc w:val="left"/>
              <w:rPr/>
            </w:pPr>
            <w:r>
              <w:rPr/>
              <w:t> </w:t>
            </w:r>
          </w:p>
        </w:tc>
        <w:tc>
          <w:tcPr>
            <w:tcW w:w="2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Mingxiu luan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584" w:type="dxa"/>
        <w:jc w:val="left"/>
        <w:tblInd w:w="0" w:type="dxa"/>
        <w:tblLayout w:type="fixed"/>
        <w:tblCellMar>
          <w:top w:w="0" w:type="dxa"/>
          <w:left w:w="0" w:type="dxa"/>
          <w:bottom w:w="0" w:type="dxa"/>
          <w:right w:w="0" w:type="dxa"/>
        </w:tblCellMar>
      </w:tblPr>
      <w:tblGrid>
        <w:gridCol w:w="75"/>
        <w:gridCol w:w="531"/>
        <w:gridCol w:w="1978"/>
      </w:tblGrid>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Sunrise Capital Partners Ltd.</w:t>
            </w:r>
          </w:p>
        </w:tc>
      </w:tr>
      <w:tr>
        <w:trPr/>
        <w:tc>
          <w:tcPr>
            <w:tcW w:w="75"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pPr>
            <w:r>
              <w:rPr/>
              <w:t> </w:t>
            </w:r>
          </w:p>
        </w:tc>
        <w:tc>
          <w:tcPr>
            <w:tcW w:w="1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1744" w:type="dxa"/>
        <w:jc w:val="left"/>
        <w:tblInd w:w="0" w:type="dxa"/>
        <w:tblLayout w:type="fixed"/>
        <w:tblCellMar>
          <w:top w:w="0" w:type="dxa"/>
          <w:left w:w="0" w:type="dxa"/>
          <w:bottom w:w="0" w:type="dxa"/>
          <w:right w:w="0" w:type="dxa"/>
        </w:tblCellMar>
      </w:tblPr>
      <w:tblGrid>
        <w:gridCol w:w="75"/>
        <w:gridCol w:w="353"/>
        <w:gridCol w:w="1316"/>
      </w:tblGrid>
      <w:tr>
        <w:trPr/>
        <w:tc>
          <w:tcPr>
            <w:tcW w:w="75"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Ballet Holding Ltd.</w:t>
            </w:r>
          </w:p>
        </w:tc>
      </w:tr>
      <w:tr>
        <w:trPr/>
        <w:tc>
          <w:tcPr>
            <w:tcW w:w="75" w:type="dxa"/>
            <w:tcBorders/>
            <w:vAlign w:val="center"/>
          </w:tcPr>
          <w:p>
            <w:pPr>
              <w:pStyle w:val="TableContents"/>
              <w:bidi w:val="0"/>
              <w:spacing w:before="0" w:after="283"/>
              <w:jc w:val="left"/>
              <w:rPr/>
            </w:pPr>
            <w:r>
              <w:rPr/>
              <w:t> </w:t>
            </w:r>
          </w:p>
        </w:tc>
        <w:tc>
          <w:tcPr>
            <w:tcW w:w="16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1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629" w:type="dxa"/>
        <w:jc w:val="left"/>
        <w:tblInd w:w="0" w:type="dxa"/>
        <w:tblLayout w:type="fixed"/>
        <w:tblCellMar>
          <w:top w:w="0" w:type="dxa"/>
          <w:left w:w="0" w:type="dxa"/>
          <w:bottom w:w="0" w:type="dxa"/>
          <w:right w:w="0" w:type="dxa"/>
        </w:tblCellMar>
      </w:tblPr>
      <w:tblGrid>
        <w:gridCol w:w="75"/>
        <w:gridCol w:w="541"/>
        <w:gridCol w:w="2013"/>
      </w:tblGrid>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Timber Management Limited</w:t>
            </w:r>
          </w:p>
        </w:tc>
      </w:tr>
      <w:tr>
        <w:trPr/>
        <w:tc>
          <w:tcPr>
            <w:tcW w:w="75"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3"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2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1909" w:type="dxa"/>
        <w:jc w:val="left"/>
        <w:tblInd w:w="0" w:type="dxa"/>
        <w:tblLayout w:type="fixed"/>
        <w:tblCellMar>
          <w:top w:w="0" w:type="dxa"/>
          <w:left w:w="0" w:type="dxa"/>
          <w:bottom w:w="0" w:type="dxa"/>
          <w:right w:w="0" w:type="dxa"/>
        </w:tblCellMar>
      </w:tblPr>
      <w:tblGrid>
        <w:gridCol w:w="75"/>
        <w:gridCol w:w="388"/>
        <w:gridCol w:w="1446"/>
      </w:tblGrid>
      <w:tr>
        <w:trPr/>
        <w:tc>
          <w:tcPr>
            <w:tcW w:w="75" w:type="dxa"/>
            <w:tcBorders/>
            <w:vAlign w:val="center"/>
          </w:tcPr>
          <w:p>
            <w:pPr>
              <w:pStyle w:val="TableContents"/>
              <w:bidi w:val="0"/>
              <w:spacing w:before="0" w:after="283"/>
              <w:jc w:val="left"/>
              <w:rPr/>
            </w:pPr>
            <w:r>
              <w:rPr/>
              <w:t> </w:t>
            </w:r>
          </w:p>
        </w:tc>
        <w:tc>
          <w:tcPr>
            <w:tcW w:w="1834"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Modern Holding Ltd.</w:t>
            </w:r>
          </w:p>
        </w:tc>
      </w:tr>
      <w:tr>
        <w:trPr/>
        <w:tc>
          <w:tcPr>
            <w:tcW w:w="75" w:type="dxa"/>
            <w:tcBorders/>
            <w:vAlign w:val="center"/>
          </w:tcPr>
          <w:p>
            <w:pPr>
              <w:pStyle w:val="TableContents"/>
              <w:bidi w:val="0"/>
              <w:spacing w:before="0" w:after="283"/>
              <w:jc w:val="left"/>
              <w:rPr/>
            </w:pPr>
            <w:r>
              <w:rPr/>
              <w:t> </w:t>
            </w:r>
          </w:p>
        </w:tc>
        <w:tc>
          <w:tcPr>
            <w:tcW w:w="18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4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br/>
        <w:t>INSTRUMENT OF TRANSFER</w:t>
      </w:r>
    </w:p>
    <w:p>
      <w:pPr>
        <w:pStyle w:val="TextBody"/>
        <w:bidi w:val="0"/>
        <w:spacing w:before="0" w:after="0"/>
        <w:ind w:left="0" w:right="0" w:hanging="0"/>
        <w:jc w:val="left"/>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br/>
        <w:t>Group chart of target Co.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3855/000121390026061007/ea0292142-f3_aifu.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16094</Words>
  <Characters>86884</Characters>
  <CharactersWithSpaces>102866</CharactersWithSpaces>
  <Paragraphs>1177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