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AIFU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YS Management Company Limited</w:t>
              <w:br/>
              <w:t>c/o Yif Liu, 28 Lower Kent Ridge Road</w:t>
              <w:br/>
              <w:t>Singapore, U0, 11837</w:t>
              <w:br/>
              <w:t>852 84353173</w:t>
            </w:r>
          </w:p>
          <w:p>
            <w:pPr>
              <w:pStyle w:val="TableContents"/>
              <w:bidi w:val="0"/>
              <w:jc w:val="left"/>
              <w:rPr/>
            </w:pPr>
            <w:r>
              <w:rPr/>
            </w:r>
          </w:p>
          <w:p>
            <w:pPr>
              <w:pStyle w:val="TableContents"/>
              <w:bidi w:val="0"/>
              <w:spacing w:before="0" w:after="0"/>
              <w:jc w:val="center"/>
              <w:rPr>
                <w:b/>
                <w:color w:val="0000FF"/>
              </w:rPr>
            </w:pPr>
            <w:r>
              <w:rPr>
                <w:b/>
                <w:color w:val="0000FF"/>
              </w:rPr>
              <w:t>Yif Liu</w:t>
              <w:br/>
              <w:t xml:space="preserve">28 Lower Kent Ridge Road, </w:t>
              <w:br/>
              <w:t>Singapore, U0, 11837</w:t>
              <w:br/>
              <w:t>852 84353173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YS Management Company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4,826,333.00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29.84 %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4,826,333 Class A ordinary shares directly held by YS Management Company Limited, which is 100% owned by Yif Liu. Note to Row 13: The percentage calculation is based on 16,175,748 ordinary shares, including 5,925,748 Class A ordinary shares and 10,250,000 Class B ordinary shares, of the Issuer outstanding as of September 24,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61"/>
        <w:gridCol w:w="7944"/>
      </w:tblGrid>
      <w:tr>
        <w:trPr/>
        <w:tc>
          <w:tcPr>
            <w:tcW w:w="2261" w:type="dxa"/>
            <w:tcBorders/>
            <w:vAlign w:val="center"/>
          </w:tcPr>
          <w:p>
            <w:pPr>
              <w:pStyle w:val="TableContents"/>
              <w:bidi w:val="0"/>
              <w:spacing w:before="0" w:after="283"/>
              <w:jc w:val="left"/>
              <w:rPr/>
            </w:pPr>
            <w:r>
              <w:rPr/>
              <w:t>1</w:t>
            </w:r>
          </w:p>
        </w:tc>
        <w:tc>
          <w:tcPr>
            <w:tcW w:w="794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Yif Liu</w:t>
            </w:r>
          </w:p>
        </w:tc>
      </w:tr>
      <w:tr>
        <w:trPr/>
        <w:tc>
          <w:tcPr>
            <w:tcW w:w="2261" w:type="dxa"/>
            <w:tcBorders/>
            <w:vAlign w:val="center"/>
          </w:tcPr>
          <w:p>
            <w:pPr>
              <w:pStyle w:val="TableContents"/>
              <w:bidi w:val="0"/>
              <w:spacing w:before="0" w:after="283"/>
              <w:jc w:val="left"/>
              <w:rPr/>
            </w:pPr>
            <w:r>
              <w:rPr/>
              <w:t>2</w:t>
            </w:r>
          </w:p>
        </w:tc>
        <w:tc>
          <w:tcPr>
            <w:tcW w:w="794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61" w:type="dxa"/>
            <w:tcBorders/>
            <w:vAlign w:val="center"/>
          </w:tcPr>
          <w:p>
            <w:pPr>
              <w:pStyle w:val="TableContents"/>
              <w:bidi w:val="0"/>
              <w:spacing w:before="0" w:after="283"/>
              <w:jc w:val="left"/>
              <w:rPr/>
            </w:pPr>
            <w:r>
              <w:rPr/>
              <w:t>3</w:t>
            </w:r>
          </w:p>
        </w:tc>
        <w:tc>
          <w:tcPr>
            <w:tcW w:w="7944" w:type="dxa"/>
            <w:tcBorders/>
            <w:vAlign w:val="center"/>
          </w:tcPr>
          <w:p>
            <w:pPr>
              <w:pStyle w:val="TableContents"/>
              <w:bidi w:val="0"/>
              <w:spacing w:before="0" w:after="283"/>
              <w:jc w:val="left"/>
              <w:rPr/>
            </w:pPr>
            <w:r>
              <w:rPr/>
              <w:t>SEC use only</w:t>
            </w:r>
          </w:p>
        </w:tc>
      </w:tr>
      <w:tr>
        <w:trPr/>
        <w:tc>
          <w:tcPr>
            <w:tcW w:w="2261" w:type="dxa"/>
            <w:tcBorders/>
            <w:vAlign w:val="center"/>
          </w:tcPr>
          <w:p>
            <w:pPr>
              <w:pStyle w:val="TableContents"/>
              <w:bidi w:val="0"/>
              <w:spacing w:before="0" w:after="283"/>
              <w:jc w:val="left"/>
              <w:rPr/>
            </w:pPr>
            <w:r>
              <w:rPr/>
              <w:t>4</w:t>
            </w:r>
          </w:p>
        </w:tc>
        <w:tc>
          <w:tcPr>
            <w:tcW w:w="794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61" w:type="dxa"/>
            <w:tcBorders/>
            <w:vAlign w:val="center"/>
          </w:tcPr>
          <w:p>
            <w:pPr>
              <w:pStyle w:val="TableContents"/>
              <w:bidi w:val="0"/>
              <w:spacing w:before="0" w:after="283"/>
              <w:jc w:val="left"/>
              <w:rPr/>
            </w:pPr>
            <w:r>
              <w:rPr/>
              <w:t>5</w:t>
            </w:r>
          </w:p>
        </w:tc>
        <w:tc>
          <w:tcPr>
            <w:tcW w:w="794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6</w:t>
            </w:r>
          </w:p>
        </w:tc>
        <w:tc>
          <w:tcPr>
            <w:tcW w:w="794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26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4,826,333.00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4" w:type="dxa"/>
            <w:tcBorders/>
            <w:vAlign w:val="center"/>
          </w:tcPr>
          <w:p>
            <w:pPr>
              <w:pStyle w:val="TableContents"/>
              <w:bidi w:val="0"/>
              <w:spacing w:before="0" w:after="283"/>
              <w:jc w:val="left"/>
              <w:rPr>
                <w:sz w:val="4"/>
                <w:szCs w:val="4"/>
              </w:rPr>
            </w:pPr>
            <w:r>
              <w:rPr>
                <w:sz w:val="4"/>
                <w:szCs w:val="4"/>
              </w:rPr>
            </w:r>
          </w:p>
        </w:tc>
      </w:tr>
      <w:tr>
        <w:trPr/>
        <w:tc>
          <w:tcPr>
            <w:tcW w:w="2261" w:type="dxa"/>
            <w:tcBorders/>
            <w:vAlign w:val="center"/>
          </w:tcPr>
          <w:p>
            <w:pPr>
              <w:pStyle w:val="TableContents"/>
              <w:bidi w:val="0"/>
              <w:spacing w:before="0" w:after="283"/>
              <w:jc w:val="left"/>
              <w:rPr/>
            </w:pPr>
            <w:r>
              <w:rPr/>
              <w:t>11</w:t>
            </w:r>
          </w:p>
        </w:tc>
        <w:tc>
          <w:tcPr>
            <w:tcW w:w="794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4,826,333.00</w:t>
            </w:r>
          </w:p>
        </w:tc>
      </w:tr>
      <w:tr>
        <w:trPr/>
        <w:tc>
          <w:tcPr>
            <w:tcW w:w="2261" w:type="dxa"/>
            <w:tcBorders/>
            <w:vAlign w:val="center"/>
          </w:tcPr>
          <w:p>
            <w:pPr>
              <w:pStyle w:val="TableContents"/>
              <w:bidi w:val="0"/>
              <w:spacing w:before="0" w:after="283"/>
              <w:jc w:val="left"/>
              <w:rPr/>
            </w:pPr>
            <w:r>
              <w:rPr/>
              <w:t>12</w:t>
            </w:r>
          </w:p>
        </w:tc>
        <w:tc>
          <w:tcPr>
            <w:tcW w:w="794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13</w:t>
            </w:r>
          </w:p>
        </w:tc>
        <w:tc>
          <w:tcPr>
            <w:tcW w:w="794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29.84 % </w:t>
            </w:r>
          </w:p>
        </w:tc>
      </w:tr>
      <w:tr>
        <w:trPr/>
        <w:tc>
          <w:tcPr>
            <w:tcW w:w="2261" w:type="dxa"/>
            <w:tcBorders/>
            <w:vAlign w:val="center"/>
          </w:tcPr>
          <w:p>
            <w:pPr>
              <w:pStyle w:val="TableContents"/>
              <w:bidi w:val="0"/>
              <w:spacing w:before="0" w:after="283"/>
              <w:jc w:val="left"/>
              <w:rPr/>
            </w:pPr>
            <w:r>
              <w:rPr/>
              <w:t>14</w:t>
            </w:r>
          </w:p>
        </w:tc>
        <w:tc>
          <w:tcPr>
            <w:tcW w:w="794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4,826,333 Class A ordinary shares directly held by YS Management Company Limited, which is 100% owned by Yif Liu. Note to Row 13: The percentage calculation is based on 16,175,748 ordinary shares, including 5,925,748 Class A ordinary shares and 10,250,000 Class B ordinary shares, of the Issuer outstanding as of September 24,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AIFU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01-10, Jinzhong Guobin Hui, Xili St., Shenzhen, CHINA , 518055.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(the "Amendment") amends and supplements the prior statement on Schedule 13D as filed on January 16, 202 (the "Original 13D") (the Original 13D as amended and supplemented, the "Previous Schedule 13D"), and relates to the beneficial ownership of Class A ordinary shares, par value $0.002 per share (the "Class A Ordinary Shares") of AIFU Inc., a Cayman Islands exempted company (the "Issuer") whose principal executive office is located at Room 001, Build 10, Jinzhong Guobin Hui, 2nd Road, Qinyuan, Lihu Community, Xili Street, Nanshan District, Shenzhen, People's Republic of China. Except as set forth below, all items of the Previous Schedule 13D remain unchanged. All capitalized terms not otherwise defined herein shall have the meanings ascribed to such terms in the Previous Schedule 13D.</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This Amendment is being jointly filed by YS Management Company Limited and Yif Liu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registered address of YS Management Company Limited is Room 1604, 16/F, OfficePlus@Sheung Wan, 93-103 Wing Lok Street, Sheung Wan, Hong Kong. The address of Yif Liu is 28 Lower Kent Ridge Road, Singapore 11837</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Yif Liu serves as a Director of YS Management Company Limited, which is a limited liability company without any substantive operations.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During the last five years, neither of the Reporting Person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YS Management Company Limited is a limited company incorporated under the laws of Hong Kong. Yif Liu is a citizen of the Republic of Guinea-Bissau.</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information set forth in Item 5 is hereby incorporated by reference into this Item 3. Item 3 of the Previous Schedule 13D is hereby amended and supplemented in its entirety as follows: Not applicable. The transaction described in Item 5 involved an issuance of shares by the Issuer to certain third party. The Reporting Persons were not parties to this transaction and did not provide any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information set forth in Item 5 is hereby incorporated by reference into this Item 4. Item 4 is hereby amended and supplemented to add the following: This Amendment is filed to report that the Reporting Persons' aggregate percentage beneficial ownership and voting power in the Issuer were diluted as a result of the Issuer's issuance of shares as described in Item 5 below.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The responses of each of the Reporting Persons to Rows (7) through (13), including the footnotes thereto, of the cover pages of this Amendment are hereby incorporated by reference in this Item 5. Item 5(a) of the Previous Schedule 13D is hereby amended and restated as follow: Pursuant to the current report of the Issuer on Form 6-K filed on September 24, 2026, on September 24, 2026, the Issuer completed the issuance of 10,000,000 Class B ordinary shares to a third party ("Share Issuance"). The Reporting Persons did not acquire or dispose of any shares subsequent to the filing of the Original 13D on September 28, 2026. The change in the number of shares owned by the Reporting Persons and the decrease in the Reporting Persons' aggregate beneficial ownership and their aggregate voting power was solely due to (i) the Issuer's 1-for-20 reverse share split effected on June 16, 2026 and (ii) the increase in the total number of the Issuer's outstanding shares from the Share Issuance. YSM beneficially owns 4,826,333 Class A ordinary shares of the Issuer, representing approximately 29.84% of the Issuer's total issued and outstanding ordinary shares and approximately 0.47% of the total voting power. YSM is 100% owned by Yif Liu. Consequently, Yif Liu may be deemed to beneficially own the Ordinary Shares held by YSM. The percentage calculation is based on 16,175,748 ordinary shares, including 5,925,748 Class A ordinary shares and 10,250,000 Class B ordinary shares, of the Issuer outstanding as of September 24, 2026 according to the records of the Issuer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During the 60 days preceding the filing of this Amendment, none of the Reporting Persons has effected any other transactions in the Ordinary Shares except as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Exhibit 1: Joint Filing Agreement dated September 28, 2026 by and between the Reporting Persons Exhibit 2: List of directors and executive officers of YS Management Company Limited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YS Management Company Limited</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Yif Liu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Yif Liu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974" w:type="dxa"/>
        <w:jc w:val="left"/>
        <w:tblInd w:w="0" w:type="dxa"/>
        <w:tblLayout w:type="fixed"/>
        <w:tblCellMar>
          <w:top w:w="28" w:type="dxa"/>
          <w:left w:w="28" w:type="dxa"/>
          <w:bottom w:w="28" w:type="dxa"/>
          <w:right w:w="28" w:type="dxa"/>
        </w:tblCellMar>
      </w:tblPr>
      <w:tblGrid>
        <w:gridCol w:w="987"/>
        <w:gridCol w:w="987"/>
      </w:tblGrid>
      <w:tr>
        <w:trPr/>
        <w:tc>
          <w:tcPr>
            <w:tcW w:w="987" w:type="dxa"/>
            <w:tcBorders/>
            <w:vAlign w:val="center"/>
          </w:tcPr>
          <w:p>
            <w:pPr>
              <w:pStyle w:val="TableContents"/>
              <w:bidi w:val="0"/>
              <w:spacing w:before="0" w:after="0"/>
              <w:jc w:val="left"/>
              <w:rPr/>
            </w:pPr>
            <w:r>
              <w:rPr/>
              <w:t> </w:t>
            </w:r>
          </w:p>
          <w:tbl>
            <w:tblPr>
              <w:tblW w:w="871" w:type="dxa"/>
              <w:jc w:val="left"/>
              <w:tblInd w:w="0" w:type="dxa"/>
              <w:tblLayout w:type="fixed"/>
              <w:tblCellMar>
                <w:top w:w="28" w:type="dxa"/>
                <w:left w:w="28" w:type="dxa"/>
                <w:bottom w:w="28" w:type="dxa"/>
                <w:right w:w="28" w:type="dxa"/>
              </w:tblCellMar>
            </w:tblPr>
            <w:tblGrid>
              <w:gridCol w:w="871"/>
            </w:tblGrid>
            <w:tr>
              <w:trPr/>
              <w:tc>
                <w:tcPr>
                  <w:tcW w:w="871" w:type="dxa"/>
                  <w:tcBorders/>
                  <w:vAlign w:val="center"/>
                </w:tcPr>
                <w:p>
                  <w:pPr>
                    <w:pStyle w:val="TableContents"/>
                    <w:bidi w:val="0"/>
                    <w:spacing w:before="0" w:after="0"/>
                    <w:jc w:val="left"/>
                    <w:rPr/>
                  </w:pPr>
                  <w:r>
                    <w:rPr/>
                    <w:t>Yif Liu</w:t>
                  </w:r>
                </w:p>
              </w:tc>
            </w:tr>
          </w:tbl>
          <w:p>
            <w:pPr>
              <w:pStyle w:val="TableContents"/>
              <w:bidi w:val="0"/>
              <w:spacing w:before="0" w:after="283"/>
              <w:jc w:val="left"/>
              <w:rPr/>
            </w:pPr>
            <w:r>
              <w:rPr/>
            </w:r>
          </w:p>
        </w:tc>
        <w:tc>
          <w:tcPr>
            <w:tcW w:w="9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Yif Liu</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Yif Liu</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682401ex-1.htm"/>
      <w:bookmarkStart w:id="19" w:name="ksea030682401ex1"/>
      <w:bookmarkEnd w:id="18"/>
      <w:bookmarkEnd w:id="19"/>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each of the undersigned parties hereby agrees to file jointly the statement on Schedule 13D (including any amendments thereto) with respect to the Ordinary Shares, par value $0.002 per share, of AIFU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September 28, 2026.</w:t>
      </w:r>
    </w:p>
    <w:p>
      <w:pPr>
        <w:pStyle w:val="TextBody"/>
        <w:bidi w:val="0"/>
        <w:spacing w:before="0" w:after="0"/>
        <w:ind w:left="0" w:right="0" w:hanging="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75"/>
        <w:gridCol w:w="611"/>
        <w:gridCol w:w="1063"/>
        <w:gridCol w:w="1239"/>
      </w:tblGrid>
      <w:tr>
        <w:trPr/>
        <w:tc>
          <w:tcPr>
            <w:tcW w:w="75" w:type="dxa"/>
            <w:tcBorders/>
            <w:vAlign w:val="center"/>
          </w:tcPr>
          <w:p>
            <w:pPr>
              <w:pStyle w:val="TableContents"/>
              <w:bidi w:val="0"/>
              <w:spacing w:before="0" w:after="283"/>
              <w:jc w:val="both"/>
              <w:rPr/>
            </w:pPr>
            <w:r>
              <w:rPr/>
              <w:t> </w:t>
            </w:r>
          </w:p>
        </w:tc>
        <w:tc>
          <w:tcPr>
            <w:tcW w:w="2913"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YS Management Company Limited</w:t>
            </w:r>
          </w:p>
        </w:tc>
      </w:tr>
      <w:tr>
        <w:trPr/>
        <w:tc>
          <w:tcPr>
            <w:tcW w:w="75" w:type="dxa"/>
            <w:tcBorders/>
            <w:vAlign w:val="center"/>
          </w:tcPr>
          <w:p>
            <w:pPr>
              <w:pStyle w:val="TableContents"/>
              <w:bidi w:val="0"/>
              <w:spacing w:before="0" w:after="283"/>
              <w:jc w:val="both"/>
              <w:rPr/>
            </w:pPr>
            <w:r>
              <w:rPr/>
              <w:t> </w:t>
            </w:r>
          </w:p>
        </w:tc>
        <w:tc>
          <w:tcPr>
            <w:tcW w:w="291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302"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Yif Liu</w:t>
            </w:r>
          </w:p>
        </w:tc>
      </w:tr>
      <w:tr>
        <w:trPr/>
        <w:tc>
          <w:tcPr>
            <w:tcW w:w="75" w:type="dxa"/>
            <w:tcBorders/>
            <w:vAlign w:val="center"/>
          </w:tcPr>
          <w:p>
            <w:pPr>
              <w:pStyle w:val="TableContents"/>
              <w:bidi w:val="0"/>
              <w:spacing w:before="0" w:after="283"/>
              <w:jc w:val="both"/>
              <w:rPr/>
            </w:pPr>
            <w:r>
              <w:rPr/>
              <w:t> </w:t>
            </w:r>
          </w:p>
        </w:tc>
        <w:tc>
          <w:tcPr>
            <w:tcW w:w="611"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 Liu</w:t>
            </w:r>
          </w:p>
        </w:tc>
      </w:tr>
      <w:tr>
        <w:trPr/>
        <w:tc>
          <w:tcPr>
            <w:tcW w:w="75" w:type="dxa"/>
            <w:tcBorders/>
            <w:vAlign w:val="center"/>
          </w:tcPr>
          <w:p>
            <w:pPr>
              <w:pStyle w:val="TableContents"/>
              <w:bidi w:val="0"/>
              <w:spacing w:before="0" w:after="283"/>
              <w:jc w:val="both"/>
              <w:rPr/>
            </w:pPr>
            <w:r>
              <w:rPr/>
              <w:t> </w:t>
            </w:r>
          </w:p>
        </w:tc>
        <w:tc>
          <w:tcPr>
            <w:tcW w:w="611"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860"/>
      </w:tblGrid>
      <w:tr>
        <w:trPr/>
        <w:tc>
          <w:tcPr>
            <w:tcW w:w="75"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Yif Liu</w:t>
            </w:r>
          </w:p>
        </w:tc>
      </w:tr>
      <w:tr>
        <w:trPr/>
        <w:tc>
          <w:tcPr>
            <w:tcW w:w="75"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Yif Liu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682401ex-2.htm"/>
      <w:bookmarkStart w:id="21" w:name="ksea030682401ex2"/>
      <w:bookmarkEnd w:id="20"/>
      <w:bookmarkEnd w:id="21"/>
      <w:r>
        <w:rPr>
          <w:rFonts w:ascii="Times New Roman;Times;Serif" w:hAnsi="Times New Roman;Times;Serif"/>
          <w:b/>
          <w:i w:val="false"/>
          <w:caps w:val="false"/>
          <w:smallCaps w:val="false"/>
          <w:sz w:val="20"/>
        </w:rPr>
        <w:t>Exhibit 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YS MANAGEMENT COMPANY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employment and citizenship of the sole director of YS Management Company Limited are set forth below.</w:t>
      </w:r>
    </w:p>
    <w:p>
      <w:pPr>
        <w:pStyle w:val="TextBody"/>
        <w:bidi w:val="0"/>
        <w:spacing w:before="0" w:after="0"/>
        <w:ind w:left="0" w:right="0" w:hanging="0"/>
        <w:jc w:val="both"/>
        <w:rPr>
          <w:caps w:val="false"/>
          <w:smallCaps w:val="false"/>
        </w:rPr>
      </w:pPr>
      <w:r>
        <w:rPr>
          <w:caps w:val="false"/>
          <w:smallCaps w:val="false"/>
        </w:rPr>
        <w:t> </w:t>
      </w:r>
    </w:p>
    <w:tbl>
      <w:tblPr>
        <w:tblW w:w="9605" w:type="dxa"/>
        <w:jc w:val="left"/>
        <w:tblInd w:w="0" w:type="dxa"/>
        <w:tblLayout w:type="fixed"/>
        <w:tblCellMar>
          <w:top w:w="0" w:type="dxa"/>
          <w:left w:w="0" w:type="dxa"/>
          <w:bottom w:w="28" w:type="dxa"/>
          <w:right w:w="0" w:type="dxa"/>
        </w:tblCellMar>
      </w:tblPr>
      <w:tblGrid>
        <w:gridCol w:w="530"/>
        <w:gridCol w:w="60"/>
        <w:gridCol w:w="3725"/>
        <w:gridCol w:w="60"/>
        <w:gridCol w:w="3815"/>
        <w:gridCol w:w="60"/>
        <w:gridCol w:w="1355"/>
      </w:tblGrid>
      <w:tr>
        <w:trPr/>
        <w:tc>
          <w:tcPr>
            <w:tcW w:w="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 Address</w:t>
            </w:r>
          </w:p>
        </w:tc>
        <w:tc>
          <w:tcPr>
            <w:tcW w:w="60" w:type="dxa"/>
            <w:tcBorders/>
            <w:tcMar>
              <w:bottom w:w="0" w:type="dxa"/>
            </w:tcMar>
            <w:vAlign w:val="center"/>
          </w:tcPr>
          <w:p>
            <w:pPr>
              <w:pStyle w:val="TableContents"/>
              <w:bidi w:val="0"/>
              <w:spacing w:before="0" w:after="283"/>
              <w:jc w:val="center"/>
              <w:rPr/>
            </w:pPr>
            <w:r>
              <w:rPr/>
              <w:t> </w:t>
            </w:r>
          </w:p>
        </w:tc>
        <w:tc>
          <w:tcPr>
            <w:tcW w:w="38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Present Principal </w:t>
              <w:br/>
              <w:t>Employment</w:t>
            </w:r>
          </w:p>
        </w:tc>
        <w:tc>
          <w:tcPr>
            <w:tcW w:w="60" w:type="dxa"/>
            <w:tcBorders/>
            <w:tcMar>
              <w:bottom w:w="0" w:type="dxa"/>
            </w:tcMar>
            <w:vAlign w:val="center"/>
          </w:tcPr>
          <w:p>
            <w:pPr>
              <w:pStyle w:val="TableContents"/>
              <w:bidi w:val="0"/>
              <w:spacing w:before="0" w:after="283"/>
              <w:jc w:val="center"/>
              <w:rPr/>
            </w:pPr>
            <w:r>
              <w:rPr/>
              <w:t> </w:t>
            </w:r>
          </w:p>
        </w:tc>
        <w:tc>
          <w:tcPr>
            <w:tcW w:w="1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 Lower Kent Ridge Road, Singapore 11837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of YS Management Company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Republic of</w:t>
              <w:br/>
              <w:t>Guinea-Bissau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YS Management Company Limited is 100% owned by Yif Liu. Yif Liu is the sole director of YS Management Company Limited. (See above for the information on Yif Liu.)</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1954</Words>
  <Characters>10001</Characters>
  <CharactersWithSpaces>11888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