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6</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AIFU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ordinary share, par value $0.4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G3314G110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MAASE INC.</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 Min Zhou, Zhixin ManufacturingValley, Yangzhou Road, Economic Development Zone</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Shandong, F4, 266000</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86-532-66030885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01/09/2026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G3314G110</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Maase Inc.</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ind w:left="1160"/>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CAYMAN ISLANDS</w:t>
      </w:r>
    </w:p>
    <w:p>
      <w:pPr>
        <w:spacing w:after="0" w:line="5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20" w:type="dxa"/>
            <w:vAlign w:val="bottom"/>
          </w:tcPr>
          <w:p>
            <w:pPr>
              <w:spacing w:after="0"/>
              <w:rPr>
                <w:sz w:val="22"/>
                <w:szCs w:val="22"/>
                <w:color w:val="auto"/>
              </w:rPr>
            </w:pP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1,642,774.00</w:t>
            </w:r>
          </w:p>
        </w:tc>
        <w:tc>
          <w:tcPr>
            <w:tcW w:w="0" w:type="dxa"/>
            <w:vAlign w:val="bottom"/>
          </w:tcPr>
          <w:p>
            <w:pPr>
              <w:spacing w:after="0"/>
              <w:rPr>
                <w:sz w:val="1"/>
                <w:szCs w:val="1"/>
                <w:color w:val="auto"/>
              </w:rPr>
            </w:pPr>
          </w:p>
        </w:tc>
      </w:tr>
      <w:tr>
        <w:trPr>
          <w:trHeight w:val="42"/>
        </w:trPr>
        <w:tc>
          <w:tcPr>
            <w:tcW w:w="1120" w:type="dxa"/>
            <w:vAlign w:val="bottom"/>
            <w:vMerge w:val="continue"/>
          </w:tcPr>
          <w:p>
            <w:pPr>
              <w:spacing w:after="0"/>
              <w:rPr>
                <w:sz w:val="3"/>
                <w:szCs w:val="3"/>
                <w:color w:val="auto"/>
              </w:rPr>
            </w:pPr>
          </w:p>
        </w:tc>
        <w:tc>
          <w:tcPr>
            <w:tcW w:w="25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2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5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5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1,642,774.00</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25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7"/>
              </w:rPr>
              <w:t>Shared Dispositive Power</w:t>
            </w:r>
          </w:p>
        </w:tc>
        <w:tc>
          <w:tcPr>
            <w:tcW w:w="0" w:type="dxa"/>
            <w:vAlign w:val="bottom"/>
          </w:tcPr>
          <w:p>
            <w:pPr>
              <w:spacing w:after="0"/>
              <w:rPr>
                <w:sz w:val="1"/>
                <w:szCs w:val="1"/>
                <w:color w:val="auto"/>
              </w:rPr>
            </w:pPr>
          </w:p>
        </w:tc>
      </w:tr>
      <w:tr>
        <w:trPr>
          <w:trHeight w:val="65"/>
        </w:trPr>
        <w:tc>
          <w:tcPr>
            <w:tcW w:w="1120" w:type="dxa"/>
            <w:vAlign w:val="bottom"/>
          </w:tcPr>
          <w:p>
            <w:pPr>
              <w:spacing w:after="0"/>
              <w:rPr>
                <w:sz w:val="5"/>
                <w:szCs w:val="5"/>
                <w:color w:val="auto"/>
              </w:rPr>
            </w:pPr>
          </w:p>
        </w:tc>
        <w:tc>
          <w:tcPr>
            <w:tcW w:w="2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ind w:left="1200"/>
        <w:spacing w:after="0" w:line="230" w:lineRule="auto"/>
        <w:rPr>
          <w:sz w:val="20"/>
          <w:szCs w:val="20"/>
          <w:color w:val="auto"/>
        </w:rPr>
      </w:pPr>
      <w:r>
        <w:rPr>
          <w:rFonts w:ascii="Times New Roman" w:cs="Times New Roman" w:eastAsia="Times New Roman" w:hAnsi="Times New Roman"/>
          <w:sz w:val="22"/>
          <w:szCs w:val="22"/>
          <w:color w:val="auto"/>
        </w:rPr>
        <w:t>10</w:t>
      </w:r>
    </w:p>
    <w:p>
      <w:pPr>
        <w:spacing w:after="0" w:line="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1,642,774.00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1.33 %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CO</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for  </w:t>
      </w:r>
      <w:r>
        <w:rPr>
          <w:rFonts w:ascii="Times New Roman" w:cs="Times New Roman" w:eastAsia="Times New Roman" w:hAnsi="Times New Roman"/>
          <w:sz w:val="21"/>
          <w:szCs w:val="21"/>
          <w:color w:val="auto"/>
        </w:rPr>
        <w:t>Note to Row 7, 9, 11: Includes 367,774 Class A ordinary shares and 1,275,000 Class B ordinary shares Note to</w:t>
      </w:r>
    </w:p>
    <w:tbl>
      <w:tblPr>
        <w:tblLayout w:type="fixed"/>
        <w:tblInd w:w="0" w:type="dxa"/>
        <w:tblCellMar>
          <w:top w:w="0" w:type="dxa"/>
          <w:left w:w="0" w:type="dxa"/>
          <w:bottom w:w="0" w:type="dxa"/>
          <w:right w:w="0" w:type="dxa"/>
        </w:tblCellMar>
      </w:tblPr>
      <w:tr>
        <w:trPr>
          <w:trHeight w:val="221"/>
        </w:trPr>
        <w:tc>
          <w:tcPr>
            <w:tcW w:w="106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Type of</w:t>
            </w:r>
          </w:p>
        </w:tc>
        <w:tc>
          <w:tcPr>
            <w:tcW w:w="10180" w:type="dxa"/>
            <w:vAlign w:val="bottom"/>
          </w:tcPr>
          <w:p>
            <w:pPr>
              <w:ind w:left="220"/>
              <w:spacing w:after="0" w:line="221" w:lineRule="exact"/>
              <w:rPr>
                <w:sz w:val="20"/>
                <w:szCs w:val="20"/>
                <w:color w:val="auto"/>
              </w:rPr>
            </w:pPr>
            <w:r>
              <w:rPr>
                <w:rFonts w:ascii="Times New Roman" w:cs="Times New Roman" w:eastAsia="Times New Roman" w:hAnsi="Times New Roman"/>
                <w:sz w:val="22"/>
                <w:szCs w:val="22"/>
                <w:color w:val="auto"/>
              </w:rPr>
              <w:t>Row 13: The percentage calculation is based on 123,514,110 ordinary shares, including 116,014,110 Class A</w:t>
            </w:r>
          </w:p>
        </w:tc>
      </w:tr>
      <w:tr>
        <w:trPr>
          <w:trHeight w:val="240"/>
        </w:trPr>
        <w:tc>
          <w:tcPr>
            <w:tcW w:w="106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180" w:type="dxa"/>
            <w:vAlign w:val="bottom"/>
          </w:tcPr>
          <w:p>
            <w:pPr>
              <w:ind w:left="220"/>
              <w:spacing w:after="0" w:line="240" w:lineRule="exact"/>
              <w:rPr>
                <w:sz w:val="20"/>
                <w:szCs w:val="20"/>
                <w:color w:val="auto"/>
              </w:rPr>
            </w:pPr>
            <w:r>
              <w:rPr>
                <w:rFonts w:ascii="Times New Roman" w:cs="Times New Roman" w:eastAsia="Times New Roman" w:hAnsi="Times New Roman"/>
                <w:sz w:val="22"/>
                <w:szCs w:val="22"/>
                <w:color w:val="auto"/>
              </w:rPr>
              <w:t>ordinary shares and 7,500,000 Class B ordinary shares, of the Issuer outstanding as of January 9, 2026.</w:t>
            </w:r>
          </w:p>
        </w:tc>
      </w:tr>
      <w:tr>
        <w:trPr>
          <w:trHeight w:val="257"/>
        </w:trPr>
        <w:tc>
          <w:tcPr>
            <w:tcW w:w="106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18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Class A ordinary share, par value $0.4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AIFU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1-10, Jinzhong Guobin Hui, Xili St., Shenzhen, CHINA , 518055.</w:t>
      </w:r>
    </w:p>
    <w:p>
      <w:pPr>
        <w:spacing w:after="0" w:line="20" w:lineRule="exact"/>
        <w:rPr>
          <w:sz w:val="20"/>
          <w:szCs w:val="20"/>
          <w:color w:val="auto"/>
        </w:rPr>
      </w:pPr>
    </w:p>
    <w:p>
      <w:pPr>
        <w:jc w:val="right"/>
        <w:ind w:left="40" w:right="40"/>
        <w:spacing w:after="0" w:line="248"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6 to Schedule 13D (this "Amendment No. 6") amends and supplements the prior statement on</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Schedule 13D as filed on January 5, 2024 (the "Original 13D"), Amendment No. 1 to Schedule 13D as filed on May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8, 2024, Amendment No. 2 to Schedule 13D as filed on January 6, 2025, Amendment No. 3 to Schedule 13D as filed on May 8, 2025, Amendment No. 4 to Schedule 13D as filed on September 24, 2025, and Amendment No. 5 to Schedule 13D as filed on December 23, 2025 (the Original 13D as amended and supplemented, this "Schedule 13D"), and relates to the beneficial ownership of Class A ordinary shares, par value $0.4 per share (the "Class A Ordinary Shares") of AIFU Inc., a Cayman Islands exempted company (the "Issuer") whose principal executive office is</w:t>
      </w:r>
    </w:p>
    <w:p>
      <w:pPr>
        <w:sectPr>
          <w:pgSz w:w="11900" w:h="16838" w:orient="portrait"/>
          <w:cols w:equalWidth="0" w:num="1">
            <w:col w:w="11240"/>
          </w:cols>
          <w:pgMar w:left="320" w:top="126" w:right="339" w:bottom="0" w:gutter="0" w:footer="0" w:header="0"/>
        </w:sectPr>
      </w:pPr>
    </w:p>
    <w:bookmarkStart w:id="2" w:name="page3"/>
    <w:bookmarkEnd w:id="2"/>
    <w:p>
      <w:pPr>
        <w:ind w:left="960"/>
        <w:spacing w:after="0" w:line="256" w:lineRule="auto"/>
        <w:rPr>
          <w:sz w:val="20"/>
          <w:szCs w:val="20"/>
          <w:color w:val="auto"/>
        </w:rPr>
      </w:pPr>
      <w:r>
        <w:rPr>
          <w:rFonts w:ascii="Times New Roman" w:cs="Times New Roman" w:eastAsia="Times New Roman" w:hAnsi="Times New Roman"/>
          <w:sz w:val="22"/>
          <w:szCs w:val="22"/>
          <w:color w:val="auto"/>
        </w:rPr>
        <w:t>located at Room 001, Build 10, Jinzhong Guobin Hui, 2nd Road, Qinyuan, Lihu Community, Xili Street, Nanshan District, Shenzhen, People's Republic of China.</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Item 2 (b) is hereby amended and supplemented as follows:</w:t>
      </w:r>
    </w:p>
    <w:p>
      <w:pPr>
        <w:spacing w:after="0" w:line="44" w:lineRule="exact"/>
        <w:rPr>
          <w:rFonts w:ascii="Times New Roman" w:cs="Times New Roman" w:eastAsia="Times New Roman" w:hAnsi="Times New Roman"/>
          <w:sz w:val="22"/>
          <w:szCs w:val="22"/>
          <w:color w:val="auto"/>
        </w:rPr>
      </w:pPr>
    </w:p>
    <w:p>
      <w:pPr>
        <w:ind w:left="920" w:right="62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principal business and office address of the Reporting Person is Building 48, Zhixin Manufacturing Valley, Yangzhou Road, Economic Development Zone, Shandong Province, People's Republic of China.</w:t>
      </w:r>
    </w:p>
    <w:p>
      <w:pPr>
        <w:spacing w:after="0" w:line="1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20" w:right="40"/>
        <w:spacing w:after="0" w:line="239" w:lineRule="auto"/>
        <w:rPr>
          <w:sz w:val="20"/>
          <w:szCs w:val="20"/>
          <w:color w:val="auto"/>
        </w:rPr>
      </w:pPr>
      <w:r>
        <w:rPr>
          <w:rFonts w:ascii="Times New Roman" w:cs="Times New Roman" w:eastAsia="Times New Roman" w:hAnsi="Times New Roman"/>
          <w:sz w:val="22"/>
          <w:szCs w:val="22"/>
          <w:color w:val="auto"/>
        </w:rPr>
        <w:t>The information set forth in Item 5 is hereby incorporated by reference into this Item 3. Item 3 is hereby amended and supplemented in its entirety as follows: Not applicable. The transaction described in Item 5 involved an issuance of shares by the Issuer to certain third parties. The Reporting Person was not a party to this transaction and did not provide any funds or other consideration.</w:t>
      </w:r>
    </w:p>
    <w:p>
      <w:pPr>
        <w:spacing w:after="0" w:line="1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40"/>
        <w:spacing w:after="0" w:line="239" w:lineRule="auto"/>
        <w:rPr>
          <w:sz w:val="20"/>
          <w:szCs w:val="20"/>
          <w:color w:val="auto"/>
        </w:rPr>
      </w:pPr>
      <w:r>
        <w:rPr>
          <w:rFonts w:ascii="Times New Roman" w:cs="Times New Roman" w:eastAsia="Times New Roman" w:hAnsi="Times New Roman"/>
          <w:sz w:val="22"/>
          <w:szCs w:val="22"/>
          <w:color w:val="auto"/>
        </w:rPr>
        <w:t>The information set forth in Item 5 is hereby incorporated by reference into this Item 4. Item 4 is hereby amended and supplemented to add the following: This Amendment No. 6 is filed to report that the Reporting Person's aggregate percentage beneficial ownership and voting power in the Issuer was diluted as a result of the Issuer's issuance of shares as described in Item 5 below.</w:t>
      </w:r>
    </w:p>
    <w:p>
      <w:pPr>
        <w:spacing w:after="0" w:line="1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40"/>
        <w:spacing w:after="0" w:line="243" w:lineRule="auto"/>
        <w:rPr>
          <w:sz w:val="20"/>
          <w:szCs w:val="20"/>
          <w:color w:val="auto"/>
        </w:rPr>
      </w:pPr>
      <w:r>
        <w:rPr>
          <w:rFonts w:ascii="Times New Roman" w:cs="Times New Roman" w:eastAsia="Times New Roman" w:hAnsi="Times New Roman"/>
          <w:sz w:val="21"/>
          <w:szCs w:val="21"/>
          <w:color w:val="auto"/>
        </w:rPr>
        <w:t>Item 5(a) is hereby amended and restated as follow: The responses of the Reporting Person to Rows (7) through (13), including the footnotes thereto, of the cover pages of this Schedule 13D/A are hereby incorporated by reference in this Item 5. Pursuant to the Issuer's Form 6-K, on January 9, 2026, the Issuer completed the issuance of 102,578,839 Class A ordinary shares to YS Management Company Limited and Ethereal Group Ltd, in relations to its previously announced acquisition of 100% of the equity interest in Nova Lumina Limited (the "Share Issuance"). As reported in Schedule 13D (Amendment No. 4 and No. 5), the Reporting Person beneficially owns 1,642,774 Ordinary Shares, including 367,774 Class A ordinary shares and 1,275,000 Class B ordinary shares of the Issuer. The Reporting Person did not acquire or dispose of any shares subsequent to the filing of Amendment 3 to this Schedule 13D on May 8, 2025. However, as a direct result of the increase in the total number of the Issuer's outstanding shares due to the Share Issuance, the Reporting Person's aggregate beneficial ownership was diluted from approximately 7.85%, as reported</w:t>
      </w:r>
    </w:p>
    <w:p>
      <w:pPr>
        <w:spacing w:after="0" w:line="9" w:lineRule="exact"/>
        <w:rPr>
          <w:sz w:val="20"/>
          <w:szCs w:val="20"/>
          <w:color w:val="auto"/>
        </w:rPr>
      </w:pPr>
    </w:p>
    <w:p>
      <w:pPr>
        <w:ind w:left="920" w:right="180" w:hanging="912"/>
        <w:spacing w:after="0" w:line="231"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Schedule 13D (Amendment No. 5), to approximately 1.33%, as reported herein, and their aggregate voting power was diluted from approximately 16.75% to approximately 14.77%. The percentage of beneficial ownership of each Reporting Persons is based on 123,514,110 ordinary shares, including 116,014,110 Class A ordinary shares and 7,500,000 Class B ordinary shares, of the Issuer outstanding as of January 9, 2026. The Class B ordinary shares are treated as converted into Class A ordinary shares only for the purpose of calculating the percentage ownership. Percentage of aggregate voting power is calculated by dividing the voting power beneficially owned by each Reporting Person by the voting power of all of our Class A ordinary shares and Class B ordinary shares as a single class. Each Class A ordinary share is entitled to one (1) vote while each Class B ordinary share is entitled to one hundred (100) votes on any and all matters submitted for a vote. Our Class A ordinary shares and Class B ordinary shares vote together as a single class on all matters submitted to a vote of our shareholders, except as may otherwise be required by law.</w:t>
      </w:r>
    </w:p>
    <w:p>
      <w:pPr>
        <w:spacing w:after="0" w:line="25" w:lineRule="exact"/>
        <w:rPr>
          <w:sz w:val="20"/>
          <w:szCs w:val="20"/>
          <w:color w:val="auto"/>
        </w:rPr>
      </w:pPr>
    </w:p>
    <w:p>
      <w:pPr>
        <w:ind w:left="920" w:right="4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Item 5(e) is hereby amended and restated as follow: As of January 9, 2026, as the result of the dilution from the Share Issuance, the Reporting Person ceased to be the beneficial owner of more than five percent of the class of securities.</w:t>
      </w:r>
    </w:p>
    <w:p>
      <w:pPr>
        <w:spacing w:after="0" w:line="1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Exhibit 1: List of directors and executive officers of Maase Inc. (filed herewith)</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Maase Inc.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Min Zhou</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Min Zhou /Vice-Chairperson of the Board, Chief</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Executive Officer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01/13/2026</w:t>
      </w:r>
    </w:p>
    <w:p>
      <w:pPr>
        <w:sectPr>
          <w:pgSz w:w="11900" w:h="16838" w:orient="portrait"/>
          <w:cols w:equalWidth="0" w:num="1">
            <w:col w:w="11160"/>
          </w:cols>
          <w:pgMar w:left="360" w:top="111"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DIRECTORS AND EXECUTIVE OFFICERS OF MAASE INC.</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business address of each of the following directors and executive officers is Building 48, Zhixin Manufacturing Valley, Yangzhou Road, Economic Development Zone, Shandong Province, People's Republic of China.</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Citizenship</w:t>
            </w:r>
          </w:p>
        </w:tc>
        <w:tc>
          <w:tcPr>
            <w:tcW w:w="120" w:type="dxa"/>
            <w:vAlign w:val="bottom"/>
          </w:tcPr>
          <w:p>
            <w:pPr>
              <w:spacing w:after="0"/>
              <w:rPr>
                <w:sz w:val="21"/>
                <w:szCs w:val="21"/>
                <w:color w:val="auto"/>
              </w:rPr>
            </w:pPr>
          </w:p>
        </w:tc>
        <w:tc>
          <w:tcPr>
            <w:tcW w:w="5380" w:type="dxa"/>
            <w:vAlign w:val="bottom"/>
          </w:tcPr>
          <w:p>
            <w:pPr>
              <w:ind w:left="238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16"/>
        </w:trPr>
        <w:tc>
          <w:tcPr>
            <w:tcW w:w="3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Jingkai Li</w:t>
            </w:r>
          </w:p>
        </w:tc>
        <w:tc>
          <w:tcPr>
            <w:tcW w:w="12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PRC</w:t>
            </w:r>
          </w:p>
        </w:tc>
        <w:tc>
          <w:tcPr>
            <w:tcW w:w="120" w:type="dxa"/>
            <w:vAlign w:val="bottom"/>
            <w:tcBorders>
              <w:top w:val="single" w:sz="8" w:color="CCEEFF"/>
            </w:tcBorders>
            <w:shd w:val="clear" w:color="auto" w:fill="CCEEFF"/>
          </w:tcPr>
          <w:p>
            <w:pPr>
              <w:spacing w:after="0"/>
              <w:rPr>
                <w:sz w:val="18"/>
                <w:szCs w:val="18"/>
                <w:color w:val="auto"/>
              </w:rPr>
            </w:pPr>
          </w:p>
        </w:tc>
        <w:tc>
          <w:tcPr>
            <w:tcW w:w="5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Chairman of the Board</w:t>
            </w: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Min Zhou</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PRC</w:t>
            </w:r>
          </w:p>
        </w:tc>
        <w:tc>
          <w:tcPr>
            <w:tcW w:w="5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Vice-Chairman of the Board and Chief Executive Officer</w:t>
            </w: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Guotao Liu</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PRC</w:t>
            </w:r>
          </w:p>
        </w:tc>
        <w:tc>
          <w:tcPr>
            <w:tcW w:w="5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Co-Chief Executive Officer</w:t>
            </w: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Jiaxing Shi</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PRC</w:t>
            </w:r>
          </w:p>
        </w:tc>
        <w:tc>
          <w:tcPr>
            <w:tcW w:w="5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Kwan Pui Chui</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Hong Kong, China</w:t>
            </w:r>
          </w:p>
        </w:tc>
        <w:tc>
          <w:tcPr>
            <w:tcW w:w="5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Yingying Li</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PRC</w:t>
            </w:r>
          </w:p>
        </w:tc>
        <w:tc>
          <w:tcPr>
            <w:tcW w:w="5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Pei Yu</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PRC</w:t>
            </w:r>
          </w:p>
        </w:tc>
        <w:tc>
          <w:tcPr>
            <w:tcW w:w="5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Independent Director</w:t>
            </w: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2026-01-13T16:10:40Z</dcterms:created>
  <dcterms:modified xsi:type="dcterms:W3CDTF">2026-01-13T16:10:40Z</dcterms:modified>
</cp:coreProperties>
</file>