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6540-6k_aifu.htm"/>
      <w:bookmarkStart w:id="1" w:name="ksea03065406k_aifu"/>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001-33768</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01, Building 10,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Jinzhong Guobin Hui Qinyuan 2nd Road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Lihu Community, Xili Street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518055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Mingxiu Luan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b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Mingxiu Luan </w:t>
              <w:b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3"/>
        <w:gridCol w:w="60"/>
        <w:gridCol w:w="9122"/>
      </w:tblGrid>
      <w:tr>
        <w:trPr/>
        <w:tc>
          <w:tcPr>
            <w:tcW w:w="1023"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2"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102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2" w:type="dxa"/>
            <w:tcBorders/>
            <w:shd w:fill="CCEEFF" w:val="clear"/>
            <w:tcMar>
              <w:bottom w:w="0" w:type="dxa"/>
            </w:tcMar>
            <w:vAlign w:val="center"/>
          </w:tcPr>
          <w:p>
            <w:pPr>
              <w:pStyle w:val="TableContents"/>
              <w:bidi w:val="0"/>
              <w:spacing w:before="0" w:after="283"/>
              <w:jc w:val="left"/>
              <w:rPr/>
            </w:pPr>
            <w:hyperlink w:anchor="ea030654001ex99-1.htm">
              <w:r>
                <w:rPr>
                  <w:rStyle w:val="InternetLink"/>
                  <w:rFonts w:ascii="Times New Roman;Times;Serif" w:hAnsi="Times New Roman;Times;Serif"/>
                  <w:b w:val="false"/>
                  <w:i w:val="false"/>
                  <w:caps w:val="false"/>
                  <w:smallCaps w:val="false"/>
                  <w:sz w:val="20"/>
                </w:rPr>
                <w:t>Press Release</w:t>
              </w:r>
            </w:hyperlink>
          </w:p>
        </w:tc>
      </w:tr>
      <w:tr>
        <w:trPr/>
        <w:tc>
          <w:tcPr>
            <w:tcW w:w="102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2" w:type="dxa"/>
            <w:tcBorders/>
            <w:shd w:fill="FFFFFF" w:val="clear"/>
            <w:tcMar>
              <w:bottom w:w="0" w:type="dxa"/>
            </w:tcMar>
            <w:vAlign w:val="center"/>
          </w:tcPr>
          <w:p>
            <w:pPr>
              <w:pStyle w:val="TableContents"/>
              <w:bidi w:val="0"/>
              <w:spacing w:before="0" w:after="283"/>
              <w:jc w:val="both"/>
              <w:rPr/>
            </w:pPr>
            <w:hyperlink w:anchor="ea030654001ex99-2.htm">
              <w:r>
                <w:rPr>
                  <w:rStyle w:val="InternetLink"/>
                  <w:rFonts w:ascii="Times New Roman;Times;Serif" w:hAnsi="Times New Roman;Times;Serif"/>
                  <w:b w:val="false"/>
                  <w:i w:val="false"/>
                  <w:caps w:val="false"/>
                  <w:smallCaps w:val="false"/>
                  <w:sz w:val="20"/>
                </w:rPr>
                <w:t>Form of Securities Purchase Agreement by and Between AIFU Inc. and Certain Investors Dated As of September 24, 2026</w:t>
              </w:r>
            </w:hyperlink>
          </w:p>
        </w:tc>
      </w:tr>
      <w:tr>
        <w:trPr/>
        <w:tc>
          <w:tcPr>
            <w:tcW w:w="10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22" w:type="dxa"/>
            <w:tcBorders/>
            <w:shd w:fill="CCEEFF" w:val="clear"/>
            <w:tcMar>
              <w:bottom w:w="0" w:type="dxa"/>
            </w:tcMar>
            <w:vAlign w:val="center"/>
          </w:tcPr>
          <w:p>
            <w:pPr>
              <w:pStyle w:val="TableContents"/>
              <w:bidi w:val="0"/>
              <w:spacing w:before="0" w:after="283"/>
              <w:jc w:val="left"/>
              <w:rPr/>
            </w:pPr>
            <w:hyperlink w:anchor="ea030654001ex99-3.htm">
              <w:r>
                <w:rPr>
                  <w:rStyle w:val="InternetLink"/>
                  <w:rFonts w:ascii="Times New Roman;Times;Serif" w:hAnsi="Times New Roman;Times;Serif"/>
                  <w:b w:val="false"/>
                  <w:i w:val="false"/>
                  <w:caps w:val="false"/>
                  <w:smallCaps w:val="false"/>
                  <w:sz w:val="20"/>
                </w:rPr>
                <w:t>Form of Warrant Dated As of September 24,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54001ex99-1.htm"/>
      <w:bookmarkStart w:id="3" w:name="ksea0306540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85750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666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Announces $135.0 Million Non-Brokered Private Placement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China, September 24, 2026 (GLOBE NEWSWIRE) -- AIFU Inc. (Nasdaq: AIFU) (the “Company” or “AIFU”), a leading AI-driven independent financial services platform in China, today announced that it has entered into a definitive share purchase agreement (the “Agreement”) with certain investors, pursuant to which the investors have agreed to subscribe for, and the Company has agreed to issue and sell to the investors, (i) an aggregate of 45,000,000 Class A ordinary shares, par value US$0.002 per share, of the Company, at a price of $3.0 per share (the “Per Share Purchase Price”) (the “Share Issuance”), and (ii) a warrant to purchase up to 90,000,000 additional Class A ordinary shares of the Company. 50% of the warrant will be exercisable at 200% of the Per Share Purchase Price, with the remaining 50% exercisable at 250%. The transaction is expected to generate approximately $135.0 million in gross proceeds from the Share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the Share Issuance, the Company will have a total of 61,175,748 ordinary shares outstanding, consisting of 50,925,748 Class A ordinary shares and 10,250,000 Class B ordinary shares. Assuming no exercise of the warrant, the largest investor in this transaction is expected to hold approximately 56.12% of the Company’s total outstanding shares, representing 3.19% of the aggregate voting power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Issuance is expected to close by the end of October 2026, subject to the satisfaction of customary closing conditions. The Company intends to use the net proceeds to support the execution of its business plans as determined by its board of directors, for general working capital, and for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are being issued and sold in a private placement pursuant to Section 4(a)(2) of the Securities Act of 1933, as amended (the “Securities Act”), which have not been registered under the Securities Act or applicable state securities laws and may not be offered or sold in the United States except pursuant to an effective registration statement or an applicable exemption from the registration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any securities described herein,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AIFU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1998, AIFU Inc. (Nasdaq: AIFU) is a leading AI-driven independent financial services platform in China. Through strategic partnerships and deep integration across the value chain, AIFU has created a comprehensive ecosystem that connects various financial institutions, service providers, agents, and independent insurance intermediaries.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this ecosystem, the company delivers comprehensive support and tailored solutions for individual agents and insurance intermediary organizations. By harnessing the power of AI, the Company enables precise matching of customer needs, enhances business development efficiency, and offers personalized, full-lifecycle insurance protection and value-added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through its proprietary AI, big data analytics, and robotic automation platforms, the Company offers a full spectrum of services including automated underwriting, claims processing, risk management, intelligent customer engagement, smart marketing and client education, as well as compliance and security solutions. These advanced capabilities substantially improve intermediaries’ operational efficiency, empower partners to expand market presence, and enable more seamless personalized experiences for end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of a forward-looking nature. These statements, including the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These forward-looking statements involve known and unknown risks and uncertainties and are based on current expectations, assumptions, estimates and projections about AIFU Inc. and the industry. Potential risks and uncertainties include, but are not limited to, those relating to its ability to attract and retain productive agents, especially entrepreneurial agents, its ability to maintain existing and develop new business relationships with insurance companies, its ability to execute its growth strategy, its ability to adapt to the evolving regulatory environment in the Chinese insurance industry, its ability to compete effectively against its competitors, quarterly variations in its operating results caused by factors beyond its control including macroeconomic conditions in China. Except as otherwise indicated, all information provided in this press release speaks as of the date hereof, and AIFU Inc. undertakes no obligation to update any forward-looking statements to reflect subsequent occurring events or circumstances, or changes in its expectations, except as may be required by law. Although AIFU Inc.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AIFU Inc. is included in AIFU Inc.’s filings with the U.S. Securities and Exchange Commission, including its annual report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ir@aifugroup.com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654001ex99-2.htm"/>
      <w:bookmarkStart w:id="5" w:name="ksea0306540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720" w:right="0" w:hanging="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September 24, 2026, between AIFU Inc., a Cayman Islands Exempted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investors as listed in the Exhibit I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Section 4(a)(2)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Company desires to issue and sell to the Purchaser, and the Purchaser desires to purchase from the Company,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the Purchaser agree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ascribed to such term in Section 2.1(a).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w:t>
      </w:r>
      <w:r>
        <w:rPr>
          <w:rFonts w:ascii="Times New Roman;Times;Serif" w:hAnsi="Times New Roman;Times;Serif"/>
          <w:b w:val="false"/>
          <w:i w:val="false"/>
          <w:caps w:val="false"/>
          <w:smallCaps w:val="false"/>
          <w:sz w:val="20"/>
        </w:rPr>
        <w:t>” means the Class A ordinary share of the Company, par value $0.002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 including, without limitation, any debt, preferred stock, right, option, warrant or other instrument that is at any time convertible into or exercisable or exchangeable for, or otherwise entitles the holder thereof to receive, Ordinary Share.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pursuant to Section 2.2(a), and all conditions precedent to (i) the Purchasers’ obligations to pay the Subscription Amount as to the Closing and (ii) the Company’s obligations to deliver the Securities as to the Closing, in each case, have been satisfied or waived.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Shares</w:t>
      </w:r>
      <w:r>
        <w:rPr>
          <w:rFonts w:ascii="Times New Roman;Times;Serif" w:hAnsi="Times New Roman;Times;Serif"/>
          <w:b w:val="false"/>
          <w:i w:val="false"/>
          <w:caps w:val="false"/>
          <w:smallCaps w:val="false"/>
          <w:sz w:val="20"/>
        </w:rPr>
        <w:t>” shall have the meaning ascribed to such term in Section 2.1(a).</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Subscription Amount</w:t>
      </w:r>
      <w:r>
        <w:rPr>
          <w:rFonts w:ascii="Times New Roman;Times;Serif" w:hAnsi="Times New Roman;Times;Serif"/>
          <w:b w:val="false"/>
          <w:i w:val="false"/>
          <w:caps w:val="false"/>
          <w:smallCaps w:val="false"/>
          <w:sz w:val="20"/>
        </w:rPr>
        <w:t>” means $135,000,000, being an amount equal to Per Share Purchase Price multiplied by the Closing Shares, payable in United States dollars and in immediately available funds.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material lien, charge, pledge,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to US$ 3.0.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the location and/or reservation of borrowable Ordinary Shares).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the Closing Subscription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direct or indirect subsidiary of the Company formed or acquired.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 is listed or quoted for trading on the date in question: the NYSE MKT, the NYSE American, the Nasdaq Capital Market, the Nasdaq Global Market, the Nasdaq Global Select Market or the OTC Bulletin Board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and any other documents or agreements executed by the Company and/or the Purchaser in connection with the transactions contemplated hereunder.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Transhare Corporation, the current transfer agent of the Company, with a mailing address of 17755 North US Highway 19 Suite 140 Clearwater, Fl 33764, and any successor transfer agent of the Company.</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the Company agrees to sell, and the Purchaser agree to purchase an aggregate of 45,000,000 Class A Ordinary Shares (the “</w:t>
      </w:r>
      <w:r>
        <w:rPr>
          <w:rFonts w:ascii="Times New Roman;Times;Serif" w:hAnsi="Times New Roman;Times;Serif"/>
          <w:b w:val="false"/>
          <w:i w:val="false"/>
          <w:caps w:val="false"/>
          <w:smallCaps w:val="false"/>
          <w:sz w:val="20"/>
          <w:u w:val="single"/>
        </w:rPr>
        <w:t>Closing Shares</w:t>
      </w:r>
      <w:r>
        <w:rPr>
          <w:rFonts w:ascii="Times New Roman;Times;Serif" w:hAnsi="Times New Roman;Times;Serif"/>
          <w:b w:val="false"/>
          <w:i w:val="false"/>
          <w:caps w:val="false"/>
          <w:smallCaps w:val="false"/>
          <w:sz w:val="20"/>
        </w:rPr>
        <w:t>”). The Purchaser shall deliver to the Company, via wire transfer or a certified check, immediately available funds equal to the Closing Subscription Amount and the Company shall deliver to the Purchaser the Closing Shares on the Closing Date, and the Company and the Purchaser shall deliver the other items set forth in Section 2.2 deliverable at the Closing. Upon satisfaction of the covenants and conditions set forth in Sections 2.2 and 2.3, but no later than three Trading Days subsequent to the Closing date, the Closing shall occur at the location as the parties shall mutually agree or remotely by exchange of Closing documents. The closing of the transaction will occur simultaneously for all investors.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each Closing, the Company shall deliver or cause to be delivered to the Purchaser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to each Closing, a copy of the irrevocable instructions to the Transfer Agent instructing the Transfer Agent to deliver a certificate evidencing the Closing Shares, registered in the name of the Purchaser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each Closing, the Purchaser shall deliver or cause to be delivered to the Company, as to the Closing, the Closing Subscription Amount, by wire transfer of immediately available funds to the account specified in writing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85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each Closing are subject to the following conditions being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obligations, covenants and agreements of the Purchaser required to be performed at or prior to the applicable Closing shall have been performed;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to the Closing, the Company and the Purchaser shall have agreed on the use of proceeds from the transactions contemplated hereunder;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delivery by the Purchaser of the items set forth in Section 2.2(b) of this Agreement.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Purchaser hereunder in connection with each applicable Closing are subject to the following conditions being met: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obligations, covenants and agreements of the Company required to be performed at or prior to the applicable Closing shall have been performed;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delivery by the Company of the items set forth in Section 2.2(a)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is listed as a public company on, and the ordinary shares are tradable over the Nasdaq Capital Market;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representations and warranties of the Company contained in this Agreement shall be true and correct in all material respects as of the applicable Closing Date as though made on such date, except for representations and warranties expressly made as of an earlier date, which shall be true and correct in all material respects as of such earlier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to the Closing, the Company and the Purchaser shall have agreed on the use of proceeds from the transactions contemplated hereunder;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the date of the applicable Closing, trading in the Ordinary Shares shall not have been suspended by the Commission or the Company’s principal Trading Market, and, on the date of the applicable Closing,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Securities at the applicable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since the date of this Agreement, there shall not have occurred any event, occurrence or development that has had or could reasonably be expected to result in a Material Adverse Effect;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no law, rule, regulation, order, judgment, injunction or decree of any governmental authority shall be in effect that prohibits or materially restricts the consummation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makes the following representations and warranties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and non-assessable. If the Company has no subsidiaries, all other references to the Subsidiaries or any of them in the Transaction Documents shall be disregarded.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or business,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would not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application(s) to each applicable Trading Market for the additional listing of the Shares for trading thereon in the time and manner required thereby, and (iii) such filings as are required to be made under applicable state securities laws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the Securities</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free and clear of all Liens other than restrictions on transfer provided by the Transaction Documents. The Company has reserved from its duly authorized capital stock the maximum number of Ordinary Shares issuable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September 24 2026 and upon completion of the Company’s issuance of the Class B Ordinary Shares, the company has 16,175,706 shares issued and outstanding, including 5,925,706 Class A Ordinary Shares and 10,250,000 Class B  Ordinary Shares. No Person has any right of first refusal, preemptive right, right of participation, or any similar right to participate in the transactions contemplated by the Transaction Documents. All of the outstanding shares of capital stock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and the Company has no undisclosed material contingent liabilities,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material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Ordinary Share is registered pursuant to Section 12(b) or 12(g) of the Exchange Act, and the Company has taken no action designed to, or which to its knowledge is likely to have the effect of, terminating the registration of the Ordinary Share under the Exchange Act nor has the Company received any notification that the Commission is contemplating terminating such registration. The Company is in compliance with all such listing and maintenance requirements. The Ordinary Share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All of the disclosure furnished by or on behalf of the Company to the Purchaser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light of the circumstances under which they were made,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current independent registered public accounting firm is Enrome LLP (the “Enrome”) which replaced the Company’s previous independent registered public accounting firm Deloitte Touche Tohmatsu Certified Public Accountants LLP (“Deloitte”) . To the knowledge and belief of the Company, such accounting firms (i) are registered public accounting firm as required by the Exchange Act and (ii) Deloitte has expressed its opinion with respect to the financial statements included in the Company’s Annual Report for the fiscal year ending December 31, 2023. The change from Deloitte to Enrome was not the result of any material disagreement between the Company and Deloitte on any matter of accounting principles or practices, financial statement disclosure or auditing scope or procedure, and there were no reportable events or other matters required to be disclosed under applicable securities laws in connection with such change that have not been disclosed in the SEC Reports.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hereby represents and warrants as of the date hereof and as of each Closing to the Company as follows (unless as of a specific date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otherwise to carry out its obligations hereunder and thereunder. The execution and delivery of this Agreement and performance by the Purchaser of the transactions contemplated by this Agreement have been duly authorized by all necessary corporate, partnership, limited liability company or similar action, as applicable,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Own Account</w:t>
      </w:r>
      <w:r>
        <w:rPr>
          <w:rFonts w:ascii="Times New Roman;Times;Serif" w:hAnsi="Times New Roman;Times;Serif"/>
          <w:b w:val="false"/>
          <w:i w:val="false"/>
          <w:caps w:val="false"/>
          <w:smallCaps w:val="false"/>
          <w:sz w:val="20"/>
        </w:rPr>
        <w:t>. The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Purchaser’s right to sell the Securities pursuant to a registration statement or otherwise in compliance with applicable federal and state securities laws). The Purchaser is acquiring the Securities hereunder in the ordinary course of its business.</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the Purchaser was offered the Securities, it was, and as of the date hereof it is, either: (i) an “accredited investor” as defined in Rule 501(a)(1), (a)(2), (a)(3), (a)(7) or (a)(8) under the Securities Act or (ii) a “qualified institutional buyer” as defined in Rule 144A(a) under the Securities Act; or (iii) non-US residents, as permitted by Regulation S.</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Experience of the Purchaser</w:t>
      </w:r>
      <w:r>
        <w:rPr>
          <w:rFonts w:ascii="Times New Roman;Times;Serif" w:hAnsi="Times New Roman;Times;Serif"/>
          <w:b w:val="false"/>
          <w:i w:val="false"/>
          <w:caps w:val="false"/>
          <w:smallCaps w:val="false"/>
          <w:sz w:val="20"/>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pStyle w:val="TextBody"/>
        <w:bidi w:val="0"/>
        <w:spacing w:before="0" w:after="0"/>
        <w:ind w:left="420" w:right="0" w:firstLine="10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The Purchaser is not, to its knowledge,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the Purchaser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the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The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4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Acknowledgement of Risk</w:t>
      </w:r>
      <w:r>
        <w:rPr>
          <w:rFonts w:ascii="Times New Roman;Times;Serif" w:hAnsi="Times New Roman;Times;Serif"/>
          <w:b w:val="false"/>
          <w:i w:val="false"/>
          <w:caps w:val="false"/>
          <w:smallCaps w:val="false"/>
          <w:sz w:val="20"/>
        </w:rPr>
        <w:t>. The Purchaser acknowledges and understands that its investment in the Securities involves a significant degree of risk, including, without limitation that (i) an investment in the Company is speculative, and only Purchaser who can afford the loss of their entire investment should consider investing in the Company and the Securities and (ii) the Company has not paid any dividends on its Ordinary Share since inception and does not anticipate the payment of dividends in the foreseeable future.</w:t>
      </w:r>
    </w:p>
    <w:p>
      <w:pPr>
        <w:pStyle w:val="TextBody"/>
        <w:bidi w:val="0"/>
        <w:spacing w:before="0" w:after="0"/>
        <w:ind w:left="4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 OF THE PARTIES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The Securities may only be disposed of in compliance with state and federal securities laws. In connection with any transfer of Securities other than pursuant to an effective registration statement or Rule 144, to the Company or to an Affiliate of the Purchaser,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the Purchaser under this Agreement.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 Until the time that the Purchaser does not own any Securities, the Company covenants to maintain the registration of the Ordinary Share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9:00 a.m. (New York City time) within four Trading Days following the date hereof, issue a press release disclosing the material terms of the transactions contemplated hereby, and (b) file a Current Report on Form 6-K, including the Transaction Documents as exhibits thereto, with the Commission within the time required by the Exchange Act. From and after the issuance of such press release, the Company represents to the Purchaser that it shall have publicly disclosed all material, non-public information delivered to any of the Purchaser by the Company or any of its Subsidiaries, or any of their respective officers, directors, employees or agents in connection with the transactions contemplated by the Transaction Documents. The Company and the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the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in accordance with the schedule agreed to by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Reservation of Ordinary Share</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a sufficient number of ordinary shares for the purpose of enabling the Company to issue Shares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Listing of Ordinary Share</w:t>
      </w:r>
      <w:r>
        <w:rPr>
          <w:rFonts w:ascii="Times New Roman;Times;Serif" w:hAnsi="Times New Roman;Times;Serif"/>
          <w:b w:val="false"/>
          <w:i w:val="false"/>
          <w:caps w:val="false"/>
          <w:smallCaps w:val="false"/>
          <w:sz w:val="20"/>
        </w:rPr>
        <w:t>. During the term of 5 years after the closing of this transaction, the Company hereby agrees to use commercially reasonable efforts to maintain the listing or quotation of the Ordinary Share on the Trading Market on which it is currently listed, and concurrently with each Closing, the Company shall apply to list or quote all of the Shares on such Trading Market and take all reasonable actions to secure the listing of all of the Shares on such Trading Market. The Company will then take all action reasonably necessary to continue the listing and trading of its Ordinary Share on a Trading Market and will comply in all respects with the Company’s reporting, filing and other obligations under the bylaws or rules of the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The Purchaser covenants that until such time as the transactions contemplated by this Agreement are publicly disclosed by the Company pursuant to the initial press release as described in Section 4.4, the Purchaser will maintain the confidentiality of the existence and terms of this transaction.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Blue Sky Filings</w:t>
      </w:r>
      <w:r>
        <w:rPr>
          <w:rFonts w:ascii="Times New Roman;Times;Serif" w:hAnsi="Times New Roman;Times;Serif"/>
          <w:b w:val="false"/>
          <w:i w:val="false"/>
          <w:caps w:val="false"/>
          <w:smallCaps w:val="false"/>
          <w:sz w:val="20"/>
        </w:rPr>
        <w:t>. The Company shall take such action as the Company shall reasonably determine is necessary in order to obtain an exemption for, or to qualify the Securities for, sale to the Purchaser at the Closing under applicable securities or “Blue Sky” laws of the states of the United States, and shall provide evidence of such actions promptly upon request of the Purchaser.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or by the Company with respect to any Purchaser, as to the Purchaser’s obligations hereunder only and without any effect whatsoever on the obligations between the Company and the other Purchaser, by written notice to the other parties, if the Closing has not been consummated on or before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Purchaser may terminate this Agreement by written notice to the Company if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materially breached any representation, warranty, covenant or obligation under this Agreement and such breach remains uncured for five (5) Business Days following written notice thereof from the Purchaser;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Material Adverse Effect has occurred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as set forth on the signature pages attached hereto at or prior to 5:30 p.m. (New York City time) on a Trading Day, (b) the next Trading Day after the date of transmission, if such notice or communication is delivered via facsimile at the facsimile number or email attachment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Any Purchaser may assign any or all of its rights under this Agreement to any Person to whom the Purchaser assigns or transfers any Securities, provided that such transferee agrees in writing to be bound, with respect to the transferred Securities, by the provisions of the Transaction Documents that apply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the Transaction Documents, then, in addition to the obligations of the Company under Section 4.8, the prevailing party in such action, suit or proceeding shall be reimbursed by the other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Company shall indemnify, defend and hold harmless the Purchaser and its Affiliates, and their respective directors, officers, employees and agents, from and against any and all losses, liabilities, claims, damages, costs and expenses (including reasonable attorneys’ fees and expenses) arising out of or resulting from (i) any breach of any representation or warranty made by the Company in this Agreement or any other Transaction Document, or (ii) any breach or failure by the Company to perform any covenant, agreement or obligation contained in this Agreement or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Several Obligations of Purchasers.</w:t>
      </w:r>
      <w:r>
        <w:rPr>
          <w:rFonts w:ascii="Times New Roman;Times;Serif" w:hAnsi="Times New Roman;Times;Serif"/>
          <w:b w:val="false"/>
          <w:i w:val="false"/>
          <w:caps w:val="false"/>
          <w:smallCaps w:val="false"/>
          <w:sz w:val="20"/>
        </w:rPr>
        <w:t xml:space="preserve"> Notwithstanding anything to the contrary in this Agreement, including Sections 2.1 and 2.2(b), the obligations of each Purchaser are several and not joint. Each Purchaser shall be obligated to purchase only the number of Closing Shares and pay only the corresponding consideration set forth opposite its name in Exhibit I, and the Company shall deliver to each Purchaser its corresponding allocation of Closing Shares. The Closing Subscription Amount of US$135,000,000 is the aggregate consideration payable by all Purchasers and is not the payment obligation of any individual Purchaser. Any reference in this Agreement to the Closing Subscription Amount payable by, or the Closing Shares deliverable to, a Purchaser shall be construed accordingly. No Purchaser shall be responsible for the performance or non-performance of any other Purchaser’s obligations or be required to fund any shortfall arising from another Purchaser’s failure to pay.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545"/>
        <w:gridCol w:w="4820"/>
      </w:tblGrid>
      <w:tr>
        <w:trPr/>
        <w:tc>
          <w:tcPr>
            <w:tcW w:w="75" w:type="dxa"/>
            <w:tcBorders/>
            <w:vAlign w:val="center"/>
          </w:tcPr>
          <w:p>
            <w:pPr>
              <w:pStyle w:val="TableContents"/>
              <w:bidi w:val="0"/>
              <w:spacing w:before="0" w:after="283"/>
              <w:jc w:val="left"/>
              <w:rPr>
                <w:caps/>
              </w:rPr>
            </w:pPr>
            <w:r>
              <w:rPr>
                <w:caps/>
              </w:rPr>
              <w:t> </w:t>
            </w:r>
          </w:p>
        </w:tc>
        <w:tc>
          <w:tcPr>
            <w:tcW w:w="536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AIFU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82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Mingxiu Luan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Vice-chairperson of the Board and Chief Executive Officer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w:t>
      </w:r>
    </w:p>
    <w:p>
      <w:pPr>
        <w:pStyle w:val="TextBody"/>
        <w:bidi w:val="0"/>
        <w:spacing w:before="0" w:after="0"/>
        <w:jc w:val="center"/>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1565"/>
        <w:gridCol w:w="60"/>
        <w:gridCol w:w="3245"/>
        <w:gridCol w:w="60"/>
        <w:gridCol w:w="1280"/>
      </w:tblGrid>
      <w:tr>
        <w:trPr/>
        <w:tc>
          <w:tcPr>
            <w:tcW w:w="156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Investors</w:t>
            </w:r>
          </w:p>
        </w:tc>
        <w:tc>
          <w:tcPr>
            <w:tcW w:w="60" w:type="dxa"/>
            <w:tcBorders/>
            <w:tcMar>
              <w:bottom w:w="0" w:type="dxa"/>
            </w:tcMar>
            <w:vAlign w:val="center"/>
          </w:tcPr>
          <w:p>
            <w:pPr>
              <w:pStyle w:val="TableContents"/>
              <w:bidi w:val="0"/>
              <w:spacing w:before="0" w:after="283"/>
              <w:jc w:val="center"/>
              <w:rPr/>
            </w:pPr>
            <w:r>
              <w:rPr/>
              <w:t> </w:t>
            </w:r>
          </w:p>
        </w:tc>
        <w:tc>
          <w:tcPr>
            <w:tcW w:w="32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Class A Shares to Purchase</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Consideration </w:t>
            </w:r>
          </w:p>
        </w:tc>
      </w:tr>
      <w:tr>
        <w:trPr/>
        <w:tc>
          <w:tcPr>
            <w:tcW w:w="15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15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15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15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15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15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6" w:name="ea030654001ex99-3.htm"/>
      <w:bookmarkStart w:id="7" w:name="ksea030654001ex993"/>
      <w:bookmarkEnd w:id="6"/>
      <w:bookmarkEnd w:id="7"/>
      <w:r>
        <w:rPr>
          <w:rFonts w:ascii="Times New Roman;Times;Serif" w:hAnsi="Times New Roman;Times;Serif"/>
          <w:b/>
          <w:i w:val="false"/>
          <w:caps w:val="false"/>
          <w:smallCaps w:val="false"/>
          <w:sz w:val="20"/>
        </w:rPr>
        <w:t>Exhibit 99.3</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jc w:val="center"/>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2285"/>
        <w:gridCol w:w="3275"/>
      </w:tblGrid>
      <w:tr>
        <w:trPr/>
        <w:tc>
          <w:tcPr>
            <w:tcW w:w="2285" w:type="dxa"/>
            <w:tcBorders/>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90,000,000</w:t>
            </w:r>
          </w:p>
        </w:tc>
        <w:tc>
          <w:tcPr>
            <w:tcW w:w="327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Exercise Date: January 12, 2027</w:t>
            </w:r>
            <w:r>
              <w:rPr>
                <w:rFonts w:ascii="Times New Roman;Times;Serif" w:hAnsi="Times New Roman;Times;Serif"/>
                <w:b w:val="false"/>
                <w:i w:val="false"/>
                <w:caps w:val="false"/>
                <w:smallCaps w:val="false"/>
                <w:position w:val="7"/>
                <w:sz w:val="16"/>
                <w:sz w:val="20"/>
              </w:rPr>
              <w:t>1</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October 12,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TO PURCHASE ORDINARY SHARES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investors as listed in the Exhibit I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January 12, 2027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January 12, 2032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AIFU INC., a Cayman Islands exempt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90,000,000 shares of Class A ordinary shares of the Company, par value $0.002 per share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This Warrant is one of the Warrants to purchase Ordinary Shares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issued pursuant to that certain Securities Purchase Agreement, dated as of September 24, 2026 by and between the Company and investors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one Ordinary Shares under this Warrant shall be equal to the Exercise Price, as defined in Section 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September 24, 2026, among the Company and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facsimile copy (or .pdf copy via e-mail attachment) of the Notice of Exercise in the form annexed hereto as Exhibit A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five (5) Trading Days (as defined in Section 2(d)(i) herein) following the date of exercise as aforesaid, the Holder shall deliver the unpaid portion of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4105" w:type="dxa"/>
        <w:jc w:val="left"/>
        <w:tblInd w:w="0" w:type="dxa"/>
        <w:tblLayout w:type="fixed"/>
        <w:tblCellMar>
          <w:top w:w="0" w:type="dxa"/>
          <w:left w:w="0" w:type="dxa"/>
          <w:bottom w:w="0" w:type="dxa"/>
          <w:right w:w="0" w:type="dxa"/>
        </w:tblCellMar>
      </w:tblPr>
      <w:tblGrid>
        <w:gridCol w:w="125"/>
        <w:gridCol w:w="39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anniversary of the date of issuance</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Ordinary Share under this Warrant shall be (i) 200% of the Per Share Purchase Price (as defined in the Share Purchase Agreement) with respect to 50% of the Warrant Shares, and (ii) 250% of the Per Share Purchase Price with respect to the remaining 50% of the Warrant Shares, in each case subject to adjustment as provided herein (the “Exercise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Ordinary Shares on the principal Trading Market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 of the Securities Act, the Warrant Shares shall take on the registered characteristics of the Warrants being exercised, if any. The Company agrees not to take any position contrary to this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shares Ordinary Shares are not then listed or quoted for trading on OTCQB or OTCQX and if prices for the Ordinary Shares are then reported in the “Pink Sheets” published by OTC Markets Group, Inc. (or a similar organization or Agency succeeding to its functions of reporting prices), the most recent bid price per Ordinary Share so reported, or (d) in all other cases, the fair market value of a Ordinary Shares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in the “Pink Sheets” published by OTC Markets Group, Inc. (or a similar organization or agency succeeding to its functions of reporting prices), the most recent bid price per Ordinary Share so reported, or (d) in all other cases, the fair market value of a Ordinary Shares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on the Termination Date, this Warrant shall be automatically exercised via cashless exercise pursuant to this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 of 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five (5) Trading Days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(or, as the case may be, the number of Warrant Shares issuable upon a cashless exercise), irrespective of the date of delivery of the Warrant Shares, provided that payment of the aggregate Exercise Price (other than in the case of a cashless exercise) is received within five (5) Trading Days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Ordinary Shares as in effect on the date of delivery of the Notice of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certificate evidencing the rights of the Holder to purchase the unpurchased Warrant Shares called for by this Warrant, which new Warrant certificate shall in all other respects be identical with this Warrant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Ordinary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the Ordinary Shares upon exercise of the Warrant as required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as Exhibit B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Shares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9.99%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stock split) outstanding Ordinary Shares into a smaller number of shares, or (iv) issues by reclassification of Ordinary Shares any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Ordinary Shares Equivalents or rights to purchase stock, warrants, securities or other property pro rata to the record holders of any class of capital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stock or other securities, property or options by way of a dividend, spin off, reclassification, corporate rearrangement, plan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Ordinary Shares rights or warrants to subscribe for or purchase any shares of capital stock of any class or of any rights, (D) the approval of any stockholders of the Company shall be required in connection with a Fundamental Transaction,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Ordinary Shares of record to be entitled to such dividend, distributions, redemption, rights or warrants are to be determined or (y) the date on which such reclassification, consolidation, merger, sale, transfer or stock exchange is expected to become effective or close, and the date as of which it is expected that holders of Ordinary Shares of record shall be entitled to exchange their Ordinary Shares for securities, cash or other property deliverable upon such reclassification, consolidation, merger, sale, transfer or stock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stockholder of the Company, whether such liability is asserted by the Company or by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jc w:val="left"/>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75"/>
        <w:gridCol w:w="320"/>
        <w:gridCol w:w="545"/>
        <w:gridCol w:w="4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68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65" w:type="dxa"/>
            <w:gridSpan w:val="2"/>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Luan Mingxiu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Vice-Chairperson of the Board and Chief Executive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EXERCISE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AIFU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jc w:val="both"/>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75"/>
        <w:gridCol w:w="60"/>
        <w:gridCol w:w="2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jc w:val="both"/>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75"/>
        <w:gridCol w:w="60"/>
        <w:gridCol w:w="2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3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Accredited Investor. The undersigned is an “accredited investor” as defined in Regulation D promulgated under the Securities Act of 1933, as amended.</w:t>
      </w:r>
    </w:p>
    <w:p>
      <w:pPr>
        <w:pStyle w:val="TextBody"/>
        <w:bidi w:val="0"/>
        <w:spacing w:before="0" w:after="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460"/>
        <w:gridCol w:w="75"/>
      </w:tblGrid>
      <w:tr>
        <w:trP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B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(To assign the foregoing Warrant, execute this form and supply required information. Do not use this form to purchase shares.)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920"/>
        <w:gridCol w:w="1100"/>
      </w:tblGrid>
      <w:tr>
        <w:trPr/>
        <w:tc>
          <w:tcPr>
            <w:tcW w:w="3920" w:type="dxa"/>
            <w:tcBorders/>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c>
          <w:tcPr>
            <w:tcW w:w="1100" w:type="dxa"/>
            <w:tcBorders/>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c>
          <w:tcPr>
            <w:tcW w:w="1100" w:type="dxa"/>
            <w:tcBorders/>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1100" w:type="dxa"/>
            <w:tcBorders>
              <w:bottom w:val="single" w:sz="8" w:space="0" w:color="000000"/>
            </w:tcBorders>
            <w:tcMar>
              <w:bottom w:w="28"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1100" w:type="dxa"/>
            <w:tcBorders>
              <w:bottom w:val="single" w:sz="8" w:space="0" w:color="000000"/>
            </w:tcBorders>
            <w:tcMar>
              <w:bottom w:w="28"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1100"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Signature:______________________</w:t>
            </w:r>
          </w:p>
        </w:tc>
        <w:tc>
          <w:tcPr>
            <w:tcW w:w="1100"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Address:______________________</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w:t>
      </w:r>
    </w:p>
    <w:p>
      <w:pPr>
        <w:pStyle w:val="TextBody"/>
        <w:bidi w:val="0"/>
        <w:spacing w:before="0" w:after="0"/>
        <w:jc w:val="center"/>
        <w:rPr>
          <w:caps w:val="false"/>
          <w:smallCaps w:val="false"/>
        </w:rPr>
      </w:pPr>
      <w:r>
        <w:rPr>
          <w:caps w:val="false"/>
          <w:smallCaps w:val="false"/>
        </w:rPr>
        <w:t> </w:t>
      </w:r>
    </w:p>
    <w:tbl>
      <w:tblPr>
        <w:tblW w:w="4104" w:type="dxa"/>
        <w:jc w:val="left"/>
        <w:tblInd w:w="0" w:type="dxa"/>
        <w:tblLayout w:type="fixed"/>
        <w:tblCellMar>
          <w:top w:w="0" w:type="dxa"/>
          <w:left w:w="0" w:type="dxa"/>
          <w:bottom w:w="28" w:type="dxa"/>
          <w:right w:w="0" w:type="dxa"/>
        </w:tblCellMar>
      </w:tblPr>
      <w:tblGrid>
        <w:gridCol w:w="1880"/>
        <w:gridCol w:w="60"/>
        <w:gridCol w:w="347"/>
        <w:gridCol w:w="1742"/>
        <w:gridCol w:w="75"/>
      </w:tblGrid>
      <w:tr>
        <w:trPr/>
        <w:tc>
          <w:tcPr>
            <w:tcW w:w="1880" w:type="dxa"/>
            <w:tcBorders>
              <w:bottom w:val="single" w:sz="12" w:space="0" w:color="000000"/>
            </w:tcBorders>
            <w:vAlign w:val="center"/>
          </w:tcPr>
          <w:p>
            <w:pPr>
              <w:pStyle w:val="TableContents"/>
              <w:bidi w:val="0"/>
              <w:spacing w:before="0" w:after="283"/>
              <w:jc w:val="left"/>
              <w:rPr>
                <w:b/>
              </w:rPr>
            </w:pPr>
            <w:r>
              <w:rPr>
                <w:b/>
              </w:rPr>
              <w:t>Name of Investors</w:t>
            </w:r>
          </w:p>
        </w:tc>
        <w:tc>
          <w:tcPr>
            <w:tcW w:w="60" w:type="dxa"/>
            <w:tcBorders/>
            <w:tcMar>
              <w:bottom w:w="0" w:type="dxa"/>
            </w:tcMar>
            <w:vAlign w:val="center"/>
          </w:tcPr>
          <w:p>
            <w:pPr>
              <w:pStyle w:val="TableContents"/>
              <w:bidi w:val="0"/>
              <w:spacing w:before="0" w:after="283"/>
              <w:jc w:val="left"/>
              <w:rPr/>
            </w:pPr>
            <w:r>
              <w:rPr/>
              <w:t> </w:t>
            </w:r>
          </w:p>
        </w:tc>
        <w:tc>
          <w:tcPr>
            <w:tcW w:w="2089" w:type="dxa"/>
            <w:gridSpan w:val="2"/>
            <w:tcBorders>
              <w:bottom w:val="single" w:sz="12" w:space="0" w:color="000000"/>
            </w:tcBorders>
            <w:vAlign w:val="center"/>
          </w:tcPr>
          <w:p>
            <w:pPr>
              <w:pStyle w:val="TableContents"/>
              <w:bidi w:val="0"/>
              <w:spacing w:before="0" w:after="283"/>
              <w:jc w:val="center"/>
              <w:rPr>
                <w:b/>
              </w:rPr>
            </w:pPr>
            <w:r>
              <w:rPr>
                <w:b/>
              </w:rPr>
              <w:t>Number of Warrant</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174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174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283"/>
              <w:jc w:val="left"/>
              <w:rPr/>
            </w:pPr>
            <w:r>
              <w:rPr/>
              <w:t> </w:t>
            </w:r>
          </w:p>
        </w:tc>
        <w:tc>
          <w:tcPr>
            <w:tcW w:w="174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283"/>
              <w:jc w:val="left"/>
              <w:rPr/>
            </w:pPr>
            <w:r>
              <w:rPr/>
              <w:t> </w:t>
            </w:r>
          </w:p>
        </w:tc>
        <w:tc>
          <w:tcPr>
            <w:tcW w:w="174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bottom w:val="single" w:sz="12" w:space="0" w:color="000000"/>
            </w:tcBorders>
            <w:shd w:fill="CCEEFF" w:val="clear"/>
            <w:vAlign w:val="center"/>
          </w:tcPr>
          <w:p>
            <w:pPr>
              <w:pStyle w:val="TableContents"/>
              <w:bidi w:val="0"/>
              <w:spacing w:before="0" w:after="283"/>
              <w:jc w:val="left"/>
              <w:rPr/>
            </w:pPr>
            <w:r>
              <w:rPr/>
              <w:t> </w:t>
            </w:r>
          </w:p>
        </w:tc>
        <w:tc>
          <w:tcPr>
            <w:tcW w:w="1742" w:type="dxa"/>
            <w:tcBorders>
              <w:bottom w:val="single" w:sz="12" w:space="0" w:color="000000"/>
            </w:tcBorders>
            <w:shd w:fill="CCEEFF" w:val="cle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bottom w:val="single" w:sz="12" w:space="0" w:color="000000"/>
            </w:tcBorders>
            <w:shd w:fill="FFFFFF" w:val="clear"/>
            <w:vAlign w:val="center"/>
          </w:tcPr>
          <w:p>
            <w:pPr>
              <w:pStyle w:val="TableContents"/>
              <w:bidi w:val="0"/>
              <w:spacing w:before="0" w:after="283"/>
              <w:jc w:val="left"/>
              <w:rPr/>
            </w:pPr>
            <w:r>
              <w:rPr/>
              <w:t> </w:t>
            </w:r>
          </w:p>
        </w:tc>
        <w:tc>
          <w:tcPr>
            <w:tcW w:w="1742" w:type="dxa"/>
            <w:tcBorders>
              <w:bottom w:val="single" w:sz="12"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18252</Words>
  <Characters>95950</Characters>
  <CharactersWithSpaces>114356</CharactersWithSpaces>
  <Paragraphs>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