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AIFU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 par value $0.4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G3314G110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Good Silver Limited</w:t>
              <w:br/>
              <w:t>c/o Jamie Zhou, Room 2001, 2/F, #03-13, The Tresor, 26 Duchess Road</w:t>
              <w:br/>
              <w:t>Singapore, U0, 269029</w:t>
              <w:br/>
              <w:t>852 97039532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01/09/2026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G3314G110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Good Silver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3,900,000.00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3,900,000.00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3,900,000 Class A ordinary shares directly held by Good Silver Limited, which is 100% owned by Jamie Zhou. Note to Row 13: The percentage calculation is based on 123,514,110 ordinary shares, including 116,014,110 Class A ordinary shares and 7,500,000 Class B ordinary shares, of the Issuer outstanding as of January 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G3314G110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61"/>
        <w:gridCol w:w="7944"/>
      </w:tblGrid>
      <w:tr>
        <w:trPr/>
        <w:tc>
          <w:tcPr>
            <w:tcW w:w="2261" w:type="dxa"/>
            <w:tcBorders/>
            <w:vAlign w:val="center"/>
          </w:tcPr>
          <w:p>
            <w:pPr>
              <w:pStyle w:val="TableContents"/>
              <w:bidi w:val="0"/>
              <w:spacing w:before="0" w:after="283"/>
              <w:jc w:val="left"/>
              <w:rPr/>
            </w:pPr>
            <w:r>
              <w:rPr/>
              <w:t>1</w:t>
            </w:r>
          </w:p>
        </w:tc>
        <w:tc>
          <w:tcPr>
            <w:tcW w:w="794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Jamie Zhou</w:t>
            </w:r>
          </w:p>
        </w:tc>
      </w:tr>
      <w:tr>
        <w:trPr/>
        <w:tc>
          <w:tcPr>
            <w:tcW w:w="2261" w:type="dxa"/>
            <w:tcBorders/>
            <w:vAlign w:val="center"/>
          </w:tcPr>
          <w:p>
            <w:pPr>
              <w:pStyle w:val="TableContents"/>
              <w:bidi w:val="0"/>
              <w:spacing w:before="0" w:after="283"/>
              <w:jc w:val="left"/>
              <w:rPr/>
            </w:pPr>
            <w:r>
              <w:rPr/>
              <w:t>2</w:t>
            </w:r>
          </w:p>
        </w:tc>
        <w:tc>
          <w:tcPr>
            <w:tcW w:w="794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61" w:type="dxa"/>
            <w:tcBorders/>
            <w:vAlign w:val="center"/>
          </w:tcPr>
          <w:p>
            <w:pPr>
              <w:pStyle w:val="TableContents"/>
              <w:bidi w:val="0"/>
              <w:spacing w:before="0" w:after="283"/>
              <w:jc w:val="left"/>
              <w:rPr/>
            </w:pPr>
            <w:r>
              <w:rPr/>
              <w:t>3</w:t>
            </w:r>
          </w:p>
        </w:tc>
        <w:tc>
          <w:tcPr>
            <w:tcW w:w="7944" w:type="dxa"/>
            <w:tcBorders/>
            <w:vAlign w:val="center"/>
          </w:tcPr>
          <w:p>
            <w:pPr>
              <w:pStyle w:val="TableContents"/>
              <w:bidi w:val="0"/>
              <w:spacing w:before="0" w:after="283"/>
              <w:jc w:val="left"/>
              <w:rPr/>
            </w:pPr>
            <w:r>
              <w:rPr/>
              <w:t>SEC use only</w:t>
            </w:r>
          </w:p>
        </w:tc>
      </w:tr>
      <w:tr>
        <w:trPr/>
        <w:tc>
          <w:tcPr>
            <w:tcW w:w="2261" w:type="dxa"/>
            <w:tcBorders/>
            <w:vAlign w:val="center"/>
          </w:tcPr>
          <w:p>
            <w:pPr>
              <w:pStyle w:val="TableContents"/>
              <w:bidi w:val="0"/>
              <w:spacing w:before="0" w:after="283"/>
              <w:jc w:val="left"/>
              <w:rPr/>
            </w:pPr>
            <w:r>
              <w:rPr/>
              <w:t>4</w:t>
            </w:r>
          </w:p>
        </w:tc>
        <w:tc>
          <w:tcPr>
            <w:tcW w:w="794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61" w:type="dxa"/>
            <w:tcBorders/>
            <w:vAlign w:val="center"/>
          </w:tcPr>
          <w:p>
            <w:pPr>
              <w:pStyle w:val="TableContents"/>
              <w:bidi w:val="0"/>
              <w:spacing w:before="0" w:after="283"/>
              <w:jc w:val="left"/>
              <w:rPr/>
            </w:pPr>
            <w:r>
              <w:rPr/>
              <w:t>5</w:t>
            </w:r>
          </w:p>
        </w:tc>
        <w:tc>
          <w:tcPr>
            <w:tcW w:w="794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61" w:type="dxa"/>
            <w:tcBorders/>
            <w:vAlign w:val="center"/>
          </w:tcPr>
          <w:p>
            <w:pPr>
              <w:pStyle w:val="TableContents"/>
              <w:bidi w:val="0"/>
              <w:spacing w:before="0" w:after="283"/>
              <w:jc w:val="left"/>
              <w:rPr/>
            </w:pPr>
            <w:r>
              <w:rPr/>
              <w:t>6</w:t>
            </w:r>
          </w:p>
        </w:tc>
        <w:tc>
          <w:tcPr>
            <w:tcW w:w="794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GUINEA-BISSAU </w:t>
            </w:r>
          </w:p>
        </w:tc>
      </w:tr>
      <w:tr>
        <w:trPr/>
        <w:tc>
          <w:tcPr>
            <w:tcW w:w="226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3,900,000.00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4" w:type="dxa"/>
            <w:tcBorders/>
            <w:vAlign w:val="center"/>
          </w:tcPr>
          <w:p>
            <w:pPr>
              <w:pStyle w:val="TableContents"/>
              <w:bidi w:val="0"/>
              <w:spacing w:before="0" w:after="283"/>
              <w:jc w:val="left"/>
              <w:rPr>
                <w:sz w:val="4"/>
                <w:szCs w:val="4"/>
              </w:rPr>
            </w:pPr>
            <w:r>
              <w:rPr>
                <w:sz w:val="4"/>
                <w:szCs w:val="4"/>
              </w:rPr>
            </w:r>
          </w:p>
        </w:tc>
      </w:tr>
      <w:tr>
        <w:trPr/>
        <w:tc>
          <w:tcPr>
            <w:tcW w:w="2261" w:type="dxa"/>
            <w:tcBorders/>
            <w:vAlign w:val="center"/>
          </w:tcPr>
          <w:p>
            <w:pPr>
              <w:pStyle w:val="TableContents"/>
              <w:bidi w:val="0"/>
              <w:spacing w:before="0" w:after="283"/>
              <w:jc w:val="left"/>
              <w:rPr/>
            </w:pPr>
            <w:r>
              <w:rPr/>
              <w:t>11</w:t>
            </w:r>
          </w:p>
        </w:tc>
        <w:tc>
          <w:tcPr>
            <w:tcW w:w="794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3,900,000.00</w:t>
            </w:r>
          </w:p>
        </w:tc>
      </w:tr>
      <w:tr>
        <w:trPr/>
        <w:tc>
          <w:tcPr>
            <w:tcW w:w="2261" w:type="dxa"/>
            <w:tcBorders/>
            <w:vAlign w:val="center"/>
          </w:tcPr>
          <w:p>
            <w:pPr>
              <w:pStyle w:val="TableContents"/>
              <w:bidi w:val="0"/>
              <w:spacing w:before="0" w:after="283"/>
              <w:jc w:val="left"/>
              <w:rPr/>
            </w:pPr>
            <w:r>
              <w:rPr/>
              <w:t>12</w:t>
            </w:r>
          </w:p>
        </w:tc>
        <w:tc>
          <w:tcPr>
            <w:tcW w:w="794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61" w:type="dxa"/>
            <w:tcBorders/>
            <w:vAlign w:val="center"/>
          </w:tcPr>
          <w:p>
            <w:pPr>
              <w:pStyle w:val="TableContents"/>
              <w:bidi w:val="0"/>
              <w:spacing w:before="0" w:after="283"/>
              <w:jc w:val="left"/>
              <w:rPr/>
            </w:pPr>
            <w:r>
              <w:rPr/>
              <w:t>13</w:t>
            </w:r>
          </w:p>
        </w:tc>
        <w:tc>
          <w:tcPr>
            <w:tcW w:w="794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3.16 % </w:t>
            </w:r>
          </w:p>
        </w:tc>
      </w:tr>
      <w:tr>
        <w:trPr/>
        <w:tc>
          <w:tcPr>
            <w:tcW w:w="2261" w:type="dxa"/>
            <w:tcBorders/>
            <w:vAlign w:val="center"/>
          </w:tcPr>
          <w:p>
            <w:pPr>
              <w:pStyle w:val="TableContents"/>
              <w:bidi w:val="0"/>
              <w:spacing w:before="0" w:after="283"/>
              <w:jc w:val="left"/>
              <w:rPr/>
            </w:pPr>
            <w:r>
              <w:rPr/>
              <w:t>14</w:t>
            </w:r>
          </w:p>
        </w:tc>
        <w:tc>
          <w:tcPr>
            <w:tcW w:w="794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3,900,000 Class A ordinary shares directly held by Good Silver Limited, which is 100% owned by Jamie Zhou. Note to Row 13: The percentage calculation is based on 123,514,110 ordinary shares, including 116,014,110 Class A ordinary shares and 7,500,000 Class B ordinary shares, of the Issuer outstanding as of January 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2"/>
        <w:gridCol w:w="8878"/>
        <w:gridCol w:w="155"/>
      </w:tblGrid>
      <w:tr>
        <w:trPr/>
        <w:tc>
          <w:tcPr>
            <w:tcW w:w="1172" w:type="dxa"/>
            <w:tcBorders/>
            <w:vAlign w:val="center"/>
          </w:tcPr>
          <w:p>
            <w:pPr>
              <w:pStyle w:val="TableContents"/>
              <w:bidi w:val="0"/>
              <w:spacing w:before="0" w:after="283"/>
              <w:jc w:val="left"/>
              <w:rPr/>
            </w:pPr>
            <w:r>
              <w:rPr/>
              <w:t>Item 1.</w:t>
            </w:r>
          </w:p>
        </w:tc>
        <w:tc>
          <w:tcPr>
            <w:tcW w:w="887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$0.4 per share</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Name of Issuer: </w:t>
            </w:r>
          </w:p>
          <w:p>
            <w:pPr>
              <w:pStyle w:val="TableContents"/>
              <w:bidi w:val="0"/>
              <w:spacing w:before="0" w:after="0"/>
              <w:jc w:val="left"/>
              <w:rPr/>
            </w:pPr>
            <w:r>
              <w:rPr/>
              <w:t>AIFU Inc.</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Jinzhong Guobin Hui, Xili St., Shenzhen, CHINA , 518055.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to Schedule 13D (this "Amendment No. 2") amends and supplements the prior statement on Schedule 13D as filed on August 1, 2025 (the "Original 13D"), Amendment No. 1 to Schedule 13D as filed on December 23, 2025 (the Original 13D as amended and supplemented, this "Schedule 13D"), and relates to the beneficial ownership of Class A ordinary shares, par value $0.4 per share (the "Class A Ordinary Shares") of AIFU Inc., a Cayman Islands exempted company (the "Issuer") whose principal executive office is located at Room 001, Build 10, Jinzhong Guobin Hui, 2nd Road, Qinyuan, Lihu Community, Xili Street, Nanshan District, Shenzhen, People's Republic of China.</w:t>
            </w:r>
          </w:p>
        </w:tc>
      </w:tr>
      <w:tr>
        <w:trPr/>
        <w:tc>
          <w:tcPr>
            <w:tcW w:w="1172" w:type="dxa"/>
            <w:tcBorders/>
            <w:vAlign w:val="center"/>
          </w:tcPr>
          <w:p>
            <w:pPr>
              <w:pStyle w:val="TableContents"/>
              <w:bidi w:val="0"/>
              <w:spacing w:before="0" w:after="283"/>
              <w:jc w:val="left"/>
              <w:rPr/>
            </w:pPr>
            <w:r>
              <w:rPr/>
              <w:t>Item 3.</w:t>
            </w:r>
          </w:p>
        </w:tc>
        <w:tc>
          <w:tcPr>
            <w:tcW w:w="887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The information set forth in Item 5 is hereby incorporated by reference into this Item 3. Item 3 is hereby amended and supplemented in its entirety as follows: Not applicable. The transaction described in Item 5 involved an issuance of shares by the Issuer to certain third parties. The Reporting Persons were not parties to this transaction and did not provide any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4.</w:t>
            </w:r>
          </w:p>
        </w:tc>
        <w:tc>
          <w:tcPr>
            <w:tcW w:w="887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The information set forth in Item 5 is hereby incorporated by reference into this Item 4. Item 4 is hereby amended and supplemented to add the following: This Amendment No. 2 is filed to report that the Reporting Persons' aggregate percentage beneficial ownership and voting power in the Issuer were diluted as a result of the Issuer's issuance of shares as described in Item 5 below.</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5.</w:t>
            </w:r>
          </w:p>
        </w:tc>
        <w:tc>
          <w:tcPr>
            <w:tcW w:w="887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0"/>
              <w:jc w:val="left"/>
              <w:rPr/>
            </w:pPr>
            <w:r>
              <w:rPr/>
              <w:t>Item 5(a) is hereby amended and restated as follow: The responses of the Reporting Person to Rows (7) through (13), including the footnotes thereto, of the cover pages of this Schedule 13D/A are hereby incorporated by reference in this Item 5. Pursuant to the current report of the Issuer on Form 6-K filed on January 9, 2026, on January 9, 2026, the Issuer completed the issuance of 102,578,839 Class A ordinary shares to YS Management Company Limited and Ethereal Group Ltd, in relations to its previously announced acquisition of 100% of the equity interest in Nova Lumina Limited (the "Share Issuance"). As reported in the Original 13D and Schedule 13D (Amendment No. 1), the Reporting Persons beneficially own 3,900,000 Class A ordinary shares of the Issuer. The Reporting Person did not acquire or dispose of any shares subsequent to the filing of the Original 13D on August 1, 2025. However, as a direct result of the increase in the total number of the Issuer's outstanding shares from the Share Issuance, the Reporting Persons' aggregate beneficial ownership was diluted from approximately 18.63%, as reported in Schedule 13D (Amendment No. 1) to approximately 3.16%, and their aggregate voting power was diluted from approximately 0.51% to approximately 0.45%. The percentage of beneficial ownership of each Reporting Person is based on 123,514,110 ordinary shares, including 116,014,110 Class A ordinary shares and 7,500,000 Class B ordinary shares, of the Issuer outstanding as of January 9, 2026.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spacing w:before="0" w:after="0"/>
              <w:jc w:val="left"/>
              <w:rPr/>
            </w:pPr>
            <w:r>
              <w:rPr/>
              <w:t>Item 5(e) is hereby amended and restated as follow: As of January 9, 2026, as the result of the dilution from the Share Issuance, the Reporting Persons ceased to be the beneficial owner of more than five percent of the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7.</w:t>
            </w:r>
          </w:p>
        </w:tc>
        <w:tc>
          <w:tcPr>
            <w:tcW w:w="887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Exhibit 1: Joint Filing Agreement dated January 13, 2026 by and between the Reporting Persons Exhibit 2: List of directors and executive officers of Good Silver Limited.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Good Silver Limited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Jamie Zhou</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Jamie Zhou/Director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01/13/2026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Jamie Zhou</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/s/ Jamie Zhou</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Jamie Zhou</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01/13/2026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18" w:name="ea027269103ex99-1_aifu.htm"/>
      <w:bookmarkStart w:id="19" w:name="ksea027269103ex991_aifu"/>
      <w:bookmarkEnd w:id="18"/>
      <w:bookmarkEnd w:id="19"/>
      <w:r>
        <w:rPr>
          <w:b/>
        </w:rPr>
        <w:t>Exhibit 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each of the undersigned parties hereby agrees to file jointly the statement on Schedule 13D (including any amendments thereto) with respect to the Ordinary Shares, par value $0.4 per share, of AIFU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has been left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January 13, 2026.</w:t>
      </w:r>
    </w:p>
    <w:p>
      <w:pPr>
        <w:pStyle w:val="TextBody"/>
        <w:bidi w:val="0"/>
        <w:spacing w:before="0" w:after="0"/>
        <w:ind w:left="0" w:right="0" w:hanging="0"/>
        <w:jc w:val="left"/>
        <w:rPr>
          <w:caps w:val="false"/>
          <w:smallCaps w:val="false"/>
        </w:rPr>
      </w:pPr>
      <w:r>
        <w:rPr>
          <w:caps w:val="false"/>
          <w:smallCaps w:val="false"/>
        </w:rPr>
        <w:t> </w:t>
      </w:r>
    </w:p>
    <w:tbl>
      <w:tblPr>
        <w:tblW w:w="2055" w:type="dxa"/>
        <w:jc w:val="left"/>
        <w:tblInd w:w="0" w:type="dxa"/>
        <w:tblLayout w:type="fixed"/>
        <w:tblCellMar>
          <w:top w:w="0" w:type="dxa"/>
          <w:left w:w="0" w:type="dxa"/>
          <w:bottom w:w="0" w:type="dxa"/>
          <w:right w:w="0" w:type="dxa"/>
        </w:tblCellMar>
      </w:tblPr>
      <w:tblGrid>
        <w:gridCol w:w="75"/>
        <w:gridCol w:w="365"/>
        <w:gridCol w:w="635"/>
        <w:gridCol w:w="980"/>
      </w:tblGrid>
      <w:tr>
        <w:trPr/>
        <w:tc>
          <w:tcPr>
            <w:tcW w:w="75" w:type="dxa"/>
            <w:tcBorders/>
            <w:vAlign w:val="center"/>
          </w:tcPr>
          <w:p>
            <w:pPr>
              <w:pStyle w:val="TableContents"/>
              <w:bidi w:val="0"/>
              <w:spacing w:before="0" w:after="283"/>
              <w:jc w:val="both"/>
              <w:rPr/>
            </w:pPr>
            <w:r>
              <w:rPr/>
              <w:t> </w:t>
            </w:r>
          </w:p>
        </w:tc>
        <w:tc>
          <w:tcPr>
            <w:tcW w:w="198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 Silver Limited</w:t>
            </w:r>
          </w:p>
        </w:tc>
      </w:tr>
      <w:tr>
        <w:trPr/>
        <w:tc>
          <w:tcPr>
            <w:tcW w:w="75" w:type="dxa"/>
            <w:tcBorders/>
            <w:vAlign w:val="center"/>
          </w:tcPr>
          <w:p>
            <w:pPr>
              <w:pStyle w:val="TableContents"/>
              <w:bidi w:val="0"/>
              <w:spacing w:before="0" w:after="283"/>
              <w:jc w:val="both"/>
              <w:rPr/>
            </w:pPr>
            <w:r>
              <w:rPr/>
              <w:t> </w:t>
            </w:r>
          </w:p>
        </w:tc>
        <w:tc>
          <w:tcPr>
            <w:tcW w:w="198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1615"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Jamie Zhou</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Jamie Zhou</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w:t>
            </w:r>
          </w:p>
        </w:tc>
      </w:tr>
    </w:tbl>
    <w:p>
      <w:pPr>
        <w:pStyle w:val="TextBody"/>
        <w:bidi w:val="0"/>
        <w:spacing w:before="0" w:after="0"/>
        <w:ind w:left="0" w:right="0" w:hanging="0"/>
        <w:jc w:val="left"/>
        <w:rPr>
          <w:caps w:val="false"/>
          <w:smallCaps w:val="false"/>
        </w:rPr>
      </w:pPr>
      <w:r>
        <w:rPr>
          <w:caps w:val="false"/>
          <w:smallCaps w:val="false"/>
        </w:rPr>
        <w:t> </w:t>
      </w:r>
    </w:p>
    <w:tbl>
      <w:tblPr>
        <w:tblW w:w="1295" w:type="dxa"/>
        <w:jc w:val="left"/>
        <w:tblInd w:w="0" w:type="dxa"/>
        <w:tblLayout w:type="fixed"/>
        <w:tblCellMar>
          <w:top w:w="0" w:type="dxa"/>
          <w:left w:w="0" w:type="dxa"/>
          <w:bottom w:w="0" w:type="dxa"/>
          <w:right w:w="0" w:type="dxa"/>
        </w:tblCellMar>
      </w:tblPr>
      <w:tblGrid>
        <w:gridCol w:w="75"/>
        <w:gridCol w:w="1220"/>
      </w:tblGrid>
      <w:tr>
        <w:trPr/>
        <w:tc>
          <w:tcPr>
            <w:tcW w:w="75" w:type="dxa"/>
            <w:tcBorders/>
            <w:vAlign w:val="center"/>
          </w:tcPr>
          <w:p>
            <w:pPr>
              <w:pStyle w:val="TableContents"/>
              <w:bidi w:val="0"/>
              <w:spacing w:before="0" w:after="283"/>
              <w:jc w:val="both"/>
              <w:rPr/>
            </w:pPr>
            <w:r>
              <w:rPr/>
              <w:t> </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Jamie Zhou</w:t>
            </w:r>
          </w:p>
        </w:tc>
      </w:tr>
      <w:tr>
        <w:trPr/>
        <w:tc>
          <w:tcPr>
            <w:tcW w:w="75" w:type="dxa"/>
            <w:tcBorders/>
            <w:vAlign w:val="center"/>
          </w:tcPr>
          <w:p>
            <w:pPr>
              <w:pStyle w:val="TableContents"/>
              <w:bidi w:val="0"/>
              <w:spacing w:before="0" w:after="283"/>
              <w:jc w:val="both"/>
              <w:rPr/>
            </w:pPr>
            <w:r>
              <w:rPr/>
              <w:t> </w:t>
            </w:r>
          </w:p>
        </w:tc>
        <w:tc>
          <w:tcPr>
            <w:tcW w:w="1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2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Jamie Zhou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27269103ex99-2_aifu.htm"/>
      <w:bookmarkStart w:id="21" w:name="ksea027269103ex992_aifu"/>
      <w:bookmarkEnd w:id="20"/>
      <w:bookmarkEnd w:id="21"/>
      <w:r>
        <w:rPr>
          <w:rFonts w:ascii="Times New Roman;Times;Serif" w:hAnsi="Times New Roman;Times;Serif"/>
          <w:b/>
          <w:i w:val="false"/>
          <w:caps w:val="false"/>
          <w:smallCaps w:val="false"/>
          <w:sz w:val="20"/>
        </w:rPr>
        <w:t>Exhibit 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GOOD SILVER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business address, present principal employment and citizenship of the sole director of Good Silver Limited are set forth below.</w:t>
      </w:r>
    </w:p>
    <w:p>
      <w:pPr>
        <w:pStyle w:val="TextBody"/>
        <w:bidi w:val="0"/>
        <w:spacing w:before="0" w:after="0"/>
        <w:ind w:left="0" w:right="0" w:hanging="0"/>
        <w:jc w:val="both"/>
        <w:rPr>
          <w:caps w:val="false"/>
          <w:smallCaps w:val="false"/>
        </w:rPr>
      </w:pPr>
      <w:r>
        <w:rPr>
          <w:caps w:val="false"/>
          <w:smallCaps w:val="false"/>
        </w:rPr>
        <w:t> </w:t>
      </w:r>
    </w:p>
    <w:tbl>
      <w:tblPr>
        <w:tblW w:w="8225" w:type="dxa"/>
        <w:jc w:val="left"/>
        <w:tblInd w:w="0" w:type="dxa"/>
        <w:tblLayout w:type="fixed"/>
        <w:tblCellMar>
          <w:top w:w="0" w:type="dxa"/>
          <w:left w:w="0" w:type="dxa"/>
          <w:bottom w:w="28" w:type="dxa"/>
          <w:right w:w="0" w:type="dxa"/>
        </w:tblCellMar>
      </w:tblPr>
      <w:tblGrid>
        <w:gridCol w:w="980"/>
        <w:gridCol w:w="60"/>
        <w:gridCol w:w="3065"/>
        <w:gridCol w:w="60"/>
        <w:gridCol w:w="2645"/>
        <w:gridCol w:w="60"/>
        <w:gridCol w:w="1355"/>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30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Business Address</w:t>
            </w:r>
          </w:p>
        </w:tc>
        <w:tc>
          <w:tcPr>
            <w:tcW w:w="60" w:type="dxa"/>
            <w:tcBorders/>
            <w:tcMar>
              <w:bottom w:w="0" w:type="dxa"/>
            </w:tcMar>
            <w:vAlign w:val="center"/>
          </w:tcPr>
          <w:p>
            <w:pPr>
              <w:pStyle w:val="TableContents"/>
              <w:bidi w:val="0"/>
              <w:spacing w:before="0" w:after="283"/>
              <w:jc w:val="center"/>
              <w:rPr/>
            </w:pPr>
            <w:r>
              <w:rPr/>
              <w:t> </w:t>
            </w:r>
          </w:p>
        </w:tc>
        <w:tc>
          <w:tcPr>
            <w:tcW w:w="26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Present Principal </w:t>
              <w:br/>
              <w:t>Employment</w:t>
            </w:r>
          </w:p>
        </w:tc>
        <w:tc>
          <w:tcPr>
            <w:tcW w:w="60" w:type="dxa"/>
            <w:tcBorders/>
            <w:tcMar>
              <w:bottom w:w="0" w:type="dxa"/>
            </w:tcMar>
            <w:vAlign w:val="center"/>
          </w:tcPr>
          <w:p>
            <w:pPr>
              <w:pStyle w:val="TableContents"/>
              <w:bidi w:val="0"/>
              <w:spacing w:before="0" w:after="283"/>
              <w:jc w:val="center"/>
              <w:rPr/>
            </w:pPr>
            <w:r>
              <w:rPr/>
              <w:t> </w:t>
            </w:r>
          </w:p>
        </w:tc>
        <w:tc>
          <w:tcPr>
            <w:tcW w:w="13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Jamie Zhou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Room 2001, 2/F, #03-13, The Tresor, </w:t>
              <w:br/>
              <w:t>26 Duchess Road, 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of Good Silver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Republic of</w:t>
              <w:br/>
              <w:t>Guinea-Bissau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Silver Limited is 100% owned by Jamie Zhou. Jamie Zhou is the sole director of Good Silver Limited. (See above for the information on Jamie Zhou.)</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1698</Words>
  <Characters>8686</Characters>
  <CharactersWithSpaces>10330</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