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6539-6k_aifu.htm"/>
      <w:bookmarkStart w:id="1" w:name="ksea03065396k_aifu"/>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PURSUANT TO RULE 13a-16 OR 15d-16 UNDER</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month of September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 001-33768</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AIFU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Room 1, Building 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Jinzhong Guobin Hui Qinyuan 2nd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Lihu Community, Xili Street</w:t>
        <w:br/>
        <w:t>Shenzhen, 518055</w:t>
        <w:br/>
        <w:t>People’s Republic of China</w:t>
        <w:b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furnishing this Current Report on Form 6-K to provide (i) unaudited condensed consolidated financial statements for the six months ended June 30, 2026 and related notes, and (ii) Operating and Financial Review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contents of this Current Report on Form 6-K are hereby incorporated by reference into the Company’s registration statement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333-296229) that was initially filed with the SEC on May 26, 2026 and declared effective by the SEC on May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50"/>
        <w:gridCol w:w="60"/>
        <w:gridCol w:w="9095"/>
      </w:tblGrid>
      <w:tr>
        <w:trPr/>
        <w:tc>
          <w:tcPr>
            <w:tcW w:w="105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br/>
            </w: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center"/>
              <w:rPr/>
            </w:pPr>
            <w:r>
              <w:rPr/>
              <w:t> </w:t>
            </w:r>
          </w:p>
        </w:tc>
        <w:tc>
          <w:tcPr>
            <w:tcW w:w="90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10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095" w:type="dxa"/>
            <w:tcBorders/>
            <w:shd w:fill="CCEEFF" w:val="clear"/>
            <w:tcMar>
              <w:bottom w:w="0" w:type="dxa"/>
            </w:tcMar>
            <w:vAlign w:val="center"/>
          </w:tcPr>
          <w:p>
            <w:pPr>
              <w:pStyle w:val="TableContents"/>
              <w:bidi w:val="0"/>
              <w:spacing w:before="0" w:after="283"/>
              <w:jc w:val="left"/>
              <w:rPr/>
            </w:pPr>
            <w:hyperlink w:anchor="ea030653901ex99-1.htm">
              <w:r>
                <w:rPr>
                  <w:rStyle w:val="InternetLink"/>
                  <w:rFonts w:ascii="Times New Roman;Times;Serif" w:hAnsi="Times New Roman;Times;Serif"/>
                  <w:sz w:val="20"/>
                </w:rPr>
                <w:t>Operating and Financial Review for the Six Months Ended June 30, 2026</w:t>
              </w:r>
            </w:hyperlink>
          </w:p>
        </w:tc>
      </w:tr>
      <w:tr>
        <w:trPr/>
        <w:tc>
          <w:tcPr>
            <w:tcW w:w="10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095" w:type="dxa"/>
            <w:tcBorders/>
            <w:shd w:fill="FFFFFF" w:val="clear"/>
            <w:tcMar>
              <w:bottom w:w="0" w:type="dxa"/>
            </w:tcMar>
            <w:vAlign w:val="center"/>
          </w:tcPr>
          <w:p>
            <w:pPr>
              <w:pStyle w:val="TableContents"/>
              <w:bidi w:val="0"/>
              <w:spacing w:before="0" w:after="283"/>
              <w:jc w:val="both"/>
              <w:rPr/>
            </w:pPr>
            <w:hyperlink w:anchor="ea030653901ex99-2.htm">
              <w:r>
                <w:rPr>
                  <w:rStyle w:val="InternetLink"/>
                  <w:rFonts w:ascii="Times New Roman;Times;Serif" w:hAnsi="Times New Roman;Times;Serif"/>
                  <w:sz w:val="20"/>
                </w:rPr>
                <w:t>Unaudited Condensed Consolidated Financial Statements for the Six Months Ended June 30, 2026 and Related Notes</w:t>
              </w:r>
            </w:hyperlink>
          </w:p>
        </w:tc>
      </w:tr>
      <w:tr>
        <w:trPr/>
        <w:tc>
          <w:tcPr>
            <w:tcW w:w="1050" w:type="dxa"/>
            <w:tcBorders/>
            <w:shd w:fill="CCEEFF" w:val="clear"/>
            <w:tcMar>
              <w:bottom w:w="0" w:type="dxa"/>
            </w:tcMar>
            <w:vAlign w:val="center"/>
          </w:tcPr>
          <w:p>
            <w:pPr>
              <w:pStyle w:val="TableContents"/>
              <w:bidi w:val="0"/>
              <w:spacing w:before="0" w:after="283"/>
              <w:jc w:val="left"/>
              <w:rPr/>
            </w:pPr>
            <w:r>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95" w:type="dxa"/>
            <w:tcBorders/>
            <w:shd w:fill="CCEEFF" w:val="clear"/>
            <w:tcMar>
              <w:bottom w:w="0" w:type="dxa"/>
            </w:tcMar>
            <w:vAlign w:val="center"/>
          </w:tcPr>
          <w:p>
            <w:pPr>
              <w:pStyle w:val="TableContents"/>
              <w:bidi w:val="0"/>
              <w:spacing w:before="0" w:after="283"/>
              <w:jc w:val="left"/>
              <w:rPr/>
            </w:pPr>
            <w:r>
              <w:rPr/>
              <w:t>XBRL Instance Document</w:t>
            </w:r>
          </w:p>
        </w:tc>
      </w:tr>
      <w:tr>
        <w:trPr/>
        <w:tc>
          <w:tcPr>
            <w:tcW w:w="1050" w:type="dxa"/>
            <w:tcBorders/>
            <w:shd w:fill="FFFFFF" w:val="clear"/>
            <w:tcMar>
              <w:bottom w:w="0" w:type="dxa"/>
            </w:tcMar>
            <w:vAlign w:val="center"/>
          </w:tcPr>
          <w:p>
            <w:pPr>
              <w:pStyle w:val="TableContents"/>
              <w:bidi w:val="0"/>
              <w:spacing w:before="0" w:after="283"/>
              <w:jc w:val="left"/>
              <w:rPr/>
            </w:pPr>
            <w:r>
              <w:rPr/>
              <w:t>101.SCH*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95" w:type="dxa"/>
            <w:tcBorders/>
            <w:shd w:fill="FFFFFF" w:val="clear"/>
            <w:tcMar>
              <w:bottom w:w="0" w:type="dxa"/>
            </w:tcMar>
            <w:vAlign w:val="center"/>
          </w:tcPr>
          <w:p>
            <w:pPr>
              <w:pStyle w:val="TableContents"/>
              <w:bidi w:val="0"/>
              <w:spacing w:before="0" w:after="283"/>
              <w:jc w:val="left"/>
              <w:rPr/>
            </w:pPr>
            <w:r>
              <w:rPr/>
              <w:t>XBRL Taxonomy Extension Schema Document</w:t>
            </w:r>
          </w:p>
        </w:tc>
      </w:tr>
      <w:tr>
        <w:trPr/>
        <w:tc>
          <w:tcPr>
            <w:tcW w:w="1050" w:type="dxa"/>
            <w:tcBorders/>
            <w:shd w:fill="CCEEFF" w:val="clear"/>
            <w:tcMar>
              <w:bottom w:w="0" w:type="dxa"/>
            </w:tcMar>
            <w:vAlign w:val="center"/>
          </w:tcPr>
          <w:p>
            <w:pPr>
              <w:pStyle w:val="TableContents"/>
              <w:bidi w:val="0"/>
              <w:spacing w:before="0" w:after="283"/>
              <w:jc w:val="left"/>
              <w:rPr/>
            </w:pPr>
            <w:r>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95" w:type="dxa"/>
            <w:tcBorders/>
            <w:shd w:fill="CCEEFF" w:val="clear"/>
            <w:tcMar>
              <w:bottom w:w="0" w:type="dxa"/>
            </w:tcMar>
            <w:vAlign w:val="center"/>
          </w:tcPr>
          <w:p>
            <w:pPr>
              <w:pStyle w:val="TableContents"/>
              <w:bidi w:val="0"/>
              <w:spacing w:before="0" w:after="283"/>
              <w:jc w:val="left"/>
              <w:rPr/>
            </w:pPr>
            <w:r>
              <w:rPr/>
              <w:t>XBRL Taxonomy Extension Calculation Linkbase Document</w:t>
            </w:r>
          </w:p>
        </w:tc>
      </w:tr>
      <w:tr>
        <w:trPr/>
        <w:tc>
          <w:tcPr>
            <w:tcW w:w="1050" w:type="dxa"/>
            <w:tcBorders/>
            <w:shd w:fill="FFFFFF" w:val="clear"/>
            <w:tcMar>
              <w:bottom w:w="0" w:type="dxa"/>
            </w:tcMar>
            <w:vAlign w:val="center"/>
          </w:tcPr>
          <w:p>
            <w:pPr>
              <w:pStyle w:val="TableContents"/>
              <w:bidi w:val="0"/>
              <w:spacing w:before="0" w:after="283"/>
              <w:jc w:val="left"/>
              <w:rPr/>
            </w:pPr>
            <w:r>
              <w:rPr/>
              <w:t>101.DEF*</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95" w:type="dxa"/>
            <w:tcBorders/>
            <w:shd w:fill="FFFFFF" w:val="clear"/>
            <w:tcMar>
              <w:bottom w:w="0" w:type="dxa"/>
            </w:tcMar>
            <w:vAlign w:val="center"/>
          </w:tcPr>
          <w:p>
            <w:pPr>
              <w:pStyle w:val="TableContents"/>
              <w:bidi w:val="0"/>
              <w:spacing w:before="0" w:after="283"/>
              <w:jc w:val="left"/>
              <w:rPr/>
            </w:pPr>
            <w:r>
              <w:rPr/>
              <w:t>XBRL Taxonomy Extension Definition Linkbase Document</w:t>
            </w:r>
          </w:p>
        </w:tc>
      </w:tr>
      <w:tr>
        <w:trPr/>
        <w:tc>
          <w:tcPr>
            <w:tcW w:w="1050" w:type="dxa"/>
            <w:tcBorders/>
            <w:shd w:fill="CCEEFF" w:val="clear"/>
            <w:tcMar>
              <w:bottom w:w="0" w:type="dxa"/>
            </w:tcMar>
            <w:vAlign w:val="center"/>
          </w:tcPr>
          <w:p>
            <w:pPr>
              <w:pStyle w:val="TableContents"/>
              <w:bidi w:val="0"/>
              <w:spacing w:before="0" w:after="283"/>
              <w:jc w:val="left"/>
              <w:rPr/>
            </w:pPr>
            <w:r>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95" w:type="dxa"/>
            <w:tcBorders/>
            <w:shd w:fill="CCEEFF" w:val="clear"/>
            <w:tcMar>
              <w:bottom w:w="0" w:type="dxa"/>
            </w:tcMar>
            <w:vAlign w:val="center"/>
          </w:tcPr>
          <w:p>
            <w:pPr>
              <w:pStyle w:val="TableContents"/>
              <w:bidi w:val="0"/>
              <w:spacing w:before="0" w:after="283"/>
              <w:jc w:val="left"/>
              <w:rPr/>
            </w:pPr>
            <w:r>
              <w:rPr/>
              <w:t>XBRL Taxonomy Extension Label Linkbase Document</w:t>
            </w:r>
          </w:p>
        </w:tc>
      </w:tr>
      <w:tr>
        <w:trPr/>
        <w:tc>
          <w:tcPr>
            <w:tcW w:w="1050" w:type="dxa"/>
            <w:tcBorders/>
            <w:shd w:fill="FFFFFF" w:val="clear"/>
            <w:tcMar>
              <w:bottom w:w="0" w:type="dxa"/>
            </w:tcMar>
            <w:vAlign w:val="center"/>
          </w:tcPr>
          <w:p>
            <w:pPr>
              <w:pStyle w:val="TableContents"/>
              <w:bidi w:val="0"/>
              <w:spacing w:before="0" w:after="283"/>
              <w:jc w:val="left"/>
              <w:rPr/>
            </w:pPr>
            <w:r>
              <w:rPr/>
              <w:t>101.PRE*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95" w:type="dxa"/>
            <w:tcBorders/>
            <w:shd w:fill="FFFFFF" w:val="clear"/>
            <w:tcMar>
              <w:bottom w:w="0" w:type="dxa"/>
            </w:tcMar>
            <w:vAlign w:val="center"/>
          </w:tcPr>
          <w:p>
            <w:pPr>
              <w:pStyle w:val="TableContents"/>
              <w:bidi w:val="0"/>
              <w:spacing w:before="0" w:after="283"/>
              <w:jc w:val="left"/>
              <w:rPr/>
            </w:pPr>
            <w:r>
              <w:rPr/>
              <w:t>XBRL Taxonomy Extension Presentation Linkbase Document</w:t>
            </w:r>
          </w:p>
        </w:tc>
      </w:tr>
      <w:tr>
        <w:trPr/>
        <w:tc>
          <w:tcPr>
            <w:tcW w:w="1050"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95" w:type="dxa"/>
            <w:tcBorders/>
            <w:shd w:fill="CCEEFF" w:val="clear"/>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AIFU Inc.</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i/>
              </w:rPr>
            </w:pPr>
            <w:r>
              <w:rPr>
                <w:i/>
              </w:rPr>
              <w:t>/s/ Mingxiu Luan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Mingxiu Luan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653901ex99-1.htm"/>
      <w:bookmarkStart w:id="3" w:name="ksea0306539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and Financial Review for the six months ended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following discussion and analysis of the results of operations of AIFU Inc. (together with our subsidiaries, unless the context indicates otherwise, “we,” “us,” “our,” or the “Company”) should be read in conjunction with our consolidated financial statements and the related notes attached hereto as Exhibit 99.2.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Share Capital Reduction and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2026, our shareholders approved, amongst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the par value of each issued and unissued Class A ordinary share and Class B ordinary share from US$0.4 per share to US$0.0001 per share (the “Capital Reduction”). The Capital Reduction became effective on May 13, 2026;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1-for-20 reverse share split, pursuant to which every twenty (20) issued and unissued ordinary shares of a par value of US$0.0001 each were consolidated into one ordinary share of a par value of US$0.002 each (the “Reverse Split”). On June 16, 2026, the Reverse Split became market effective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all share counts and per share amounts for all periods presented have been retroactively adjusted to reflect the cumulative effect of the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Discontinued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we disposed of our entire equity interest in Fanhua Insurance Surveyors &amp; Loss Adjustors Co., Ltd. (“FHISLA”), the operating entity of our claims adjusting business segment, and ceased offering claims adjusting services. As a result, this business has been presented as a discontinued operation for all periods presented, and we now operate with two reportable segment —the insurance agency segment and the health and wellness segment.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was derived from our unaudited financial results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Items and Data of Unaudited Interim Consolidated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19"/>
        <w:gridCol w:w="60"/>
        <w:gridCol w:w="68"/>
        <w:gridCol w:w="996"/>
        <w:gridCol w:w="224"/>
        <w:gridCol w:w="68"/>
        <w:gridCol w:w="68"/>
        <w:gridCol w:w="996"/>
        <w:gridCol w:w="108"/>
        <w:gridCol w:w="68"/>
        <w:gridCol w:w="68"/>
        <w:gridCol w:w="859"/>
        <w:gridCol w:w="103"/>
      </w:tblGrid>
      <w:tr>
        <w:trPr/>
        <w:tc>
          <w:tcPr>
            <w:tcW w:w="65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23" w:type="dxa"/>
            <w:gridSpan w:val="10"/>
            <w:tcBorders/>
            <w:vAlign w:val="center"/>
          </w:tcPr>
          <w:p>
            <w:pPr>
              <w:pStyle w:val="TableContents"/>
              <w:bidi w:val="0"/>
              <w:spacing w:before="0" w:after="283"/>
              <w:jc w:val="center"/>
              <w:rPr>
                <w:b/>
              </w:rPr>
            </w:pPr>
            <w:r>
              <w:rPr>
                <w:b/>
              </w:rPr>
              <w:t>For the Six Months Ended</w:t>
            </w:r>
          </w:p>
        </w:tc>
        <w:tc>
          <w:tcPr>
            <w:tcW w:w="103" w:type="dxa"/>
            <w:tcBorders/>
            <w:vAlign w:val="center"/>
          </w:tcPr>
          <w:p>
            <w:pPr>
              <w:pStyle w:val="TableContents"/>
              <w:bidi w:val="0"/>
              <w:spacing w:before="0" w:after="283"/>
              <w:jc w:val="left"/>
              <w:rPr/>
            </w:pPr>
            <w:r>
              <w:rPr/>
              <w:t> </w:t>
            </w:r>
          </w:p>
        </w:tc>
      </w:tr>
      <w:tr>
        <w:trPr/>
        <w:tc>
          <w:tcPr>
            <w:tcW w:w="65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2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03" w:type="dxa"/>
            <w:tcBorders/>
            <w:vAlign w:val="center"/>
          </w:tcPr>
          <w:p>
            <w:pPr>
              <w:pStyle w:val="TableContents"/>
              <w:bidi w:val="0"/>
              <w:spacing w:before="0" w:after="283"/>
              <w:jc w:val="left"/>
              <w:rPr/>
            </w:pPr>
            <w:r>
              <w:rPr/>
              <w:t> </w:t>
            </w:r>
          </w:p>
        </w:tc>
      </w:tr>
      <w:tr>
        <w:trPr/>
        <w:tc>
          <w:tcPr>
            <w:tcW w:w="65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24"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3" w:type="dxa"/>
            <w:tcBorders/>
            <w:vAlign w:val="center"/>
          </w:tcPr>
          <w:p>
            <w:pPr>
              <w:pStyle w:val="TableContents"/>
              <w:bidi w:val="0"/>
              <w:spacing w:before="0" w:after="283"/>
              <w:jc w:val="left"/>
              <w:rPr/>
            </w:pPr>
            <w:r>
              <w:rPr/>
              <w:t> </w:t>
            </w:r>
          </w:p>
        </w:tc>
      </w:tr>
      <w:tr>
        <w:trPr/>
        <w:tc>
          <w:tcPr>
            <w:tcW w:w="65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4" w:type="dxa"/>
            <w:gridSpan w:val="2"/>
            <w:tcBorders/>
            <w:vAlign w:val="center"/>
          </w:tcPr>
          <w:p>
            <w:pPr>
              <w:pStyle w:val="TableContents"/>
              <w:bidi w:val="0"/>
              <w:spacing w:before="0" w:after="283"/>
              <w:jc w:val="center"/>
              <w:rPr>
                <w:b/>
              </w:rPr>
            </w:pPr>
            <w:r>
              <w:rPr>
                <w:b/>
              </w:rPr>
              <w:t>RMB</w:t>
            </w:r>
          </w:p>
        </w:tc>
        <w:tc>
          <w:tcPr>
            <w:tcW w:w="224"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64" w:type="dxa"/>
            <w:gridSpan w:val="2"/>
            <w:tcBorders/>
            <w:vAlign w:val="center"/>
          </w:tcPr>
          <w:p>
            <w:pPr>
              <w:pStyle w:val="TableContents"/>
              <w:bidi w:val="0"/>
              <w:spacing w:before="0" w:after="283"/>
              <w:jc w:val="center"/>
              <w:rPr>
                <w:b/>
              </w:rPr>
            </w:pPr>
            <w:r>
              <w:rPr>
                <w:b/>
              </w:rPr>
              <w:t>RMB</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27" w:type="dxa"/>
            <w:gridSpan w:val="2"/>
            <w:tcBorders/>
            <w:vAlign w:val="center"/>
          </w:tcPr>
          <w:p>
            <w:pPr>
              <w:pStyle w:val="TableContents"/>
              <w:bidi w:val="0"/>
              <w:spacing w:before="0" w:after="283"/>
              <w:jc w:val="center"/>
              <w:rPr>
                <w:b/>
              </w:rPr>
            </w:pPr>
            <w:r>
              <w:rPr>
                <w:b/>
              </w:rPr>
              <w:t>US$</w:t>
            </w:r>
          </w:p>
        </w:tc>
        <w:tc>
          <w:tcPr>
            <w:tcW w:w="103" w:type="dxa"/>
            <w:tcBorders/>
            <w:vAlign w:val="center"/>
          </w:tcPr>
          <w:p>
            <w:pPr>
              <w:pStyle w:val="TableContents"/>
              <w:bidi w:val="0"/>
              <w:spacing w:before="0" w:after="283"/>
              <w:jc w:val="left"/>
              <w:rPr/>
            </w:pPr>
            <w:r>
              <w:rPr/>
              <w:t> </w:t>
            </w:r>
          </w:p>
        </w:tc>
      </w:tr>
      <w:tr>
        <w:trPr/>
        <w:tc>
          <w:tcPr>
            <w:tcW w:w="65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23" w:type="dxa"/>
            <w:gridSpan w:val="10"/>
            <w:tcBorders/>
            <w:vAlign w:val="center"/>
          </w:tcPr>
          <w:p>
            <w:pPr>
              <w:pStyle w:val="TableContents"/>
              <w:bidi w:val="0"/>
              <w:spacing w:before="0" w:after="283"/>
              <w:jc w:val="center"/>
              <w:rPr>
                <w:b/>
              </w:rPr>
            </w:pPr>
            <w:r>
              <w:rPr>
                <w:b/>
              </w:rPr>
              <w:t>(in thousands, except for share data)</w:t>
            </w:r>
          </w:p>
        </w:tc>
        <w:tc>
          <w:tcPr>
            <w:tcW w:w="103" w:type="dxa"/>
            <w:tcBorders/>
            <w:vAlign w:val="center"/>
          </w:tcPr>
          <w:p>
            <w:pPr>
              <w:pStyle w:val="TableContents"/>
              <w:bidi w:val="0"/>
              <w:spacing w:before="0" w:after="283"/>
              <w:ind w:left="0" w:right="0" w:hanging="180"/>
              <w:jc w:val="left"/>
              <w:rPr/>
            </w:pPr>
            <w:r>
              <w:rPr/>
              <w:t> </w:t>
            </w:r>
          </w:p>
        </w:tc>
      </w:tr>
      <w:tr>
        <w:trPr/>
        <w:tc>
          <w:tcPr>
            <w:tcW w:w="6519" w:type="dxa"/>
            <w:tcBorders/>
            <w:shd w:fill="CCEEFF" w:val="clear"/>
            <w:vAlign w:val="center"/>
          </w:tcPr>
          <w:p>
            <w:pPr>
              <w:pStyle w:val="TableContents"/>
              <w:bidi w:val="0"/>
              <w:spacing w:before="0" w:after="283"/>
              <w:jc w:val="left"/>
              <w:rPr/>
            </w:pPr>
            <w:r>
              <w:rPr/>
              <w:t>Total net revenues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297,447</w:t>
            </w:r>
          </w:p>
        </w:tc>
        <w:tc>
          <w:tcPr>
            <w:tcW w:w="224"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226,180</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33,334</w:t>
            </w:r>
          </w:p>
        </w:tc>
        <w:tc>
          <w:tcPr>
            <w:tcW w:w="103" w:type="dxa"/>
            <w:tcBorders/>
            <w:shd w:fill="CCEEFF" w:val="clear"/>
            <w:vAlign w:val="center"/>
          </w:tcPr>
          <w:p>
            <w:pPr>
              <w:pStyle w:val="TableContents"/>
              <w:bidi w:val="0"/>
              <w:spacing w:before="0" w:after="283"/>
              <w:ind w:left="0" w:right="0" w:hanging="180"/>
              <w:jc w:val="left"/>
              <w:rPr/>
            </w:pPr>
            <w:r>
              <w:rPr/>
              <w:t> </w:t>
            </w:r>
          </w:p>
        </w:tc>
      </w:tr>
      <w:tr>
        <w:trPr/>
        <w:tc>
          <w:tcPr>
            <w:tcW w:w="6519" w:type="dxa"/>
            <w:tcBorders/>
            <w:shd w:fill="FFFFFF" w:val="clear"/>
            <w:vAlign w:val="center"/>
          </w:tcPr>
          <w:p>
            <w:pPr>
              <w:pStyle w:val="TableContents"/>
              <w:bidi w:val="0"/>
              <w:spacing w:before="0" w:after="283"/>
              <w:jc w:val="left"/>
              <w:rPr/>
            </w:pPr>
            <w:r>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(305,245</w:t>
            </w:r>
          </w:p>
        </w:tc>
        <w:tc>
          <w:tcPr>
            <w:tcW w:w="224"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(193,268</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(28,484</w:t>
            </w:r>
          </w:p>
        </w:tc>
        <w:tc>
          <w:tcPr>
            <w:tcW w:w="103" w:type="dxa"/>
            <w:tcBorders/>
            <w:shd w:fill="FFFFFF" w:val="clear"/>
            <w:vAlign w:val="center"/>
          </w:tcPr>
          <w:p>
            <w:pPr>
              <w:pStyle w:val="TableContents"/>
              <w:bidi w:val="0"/>
              <w:spacing w:before="0" w:after="283"/>
              <w:ind w:left="0" w:right="0" w:hanging="180"/>
              <w:jc w:val="left"/>
              <w:rPr/>
            </w:pPr>
            <w:r>
              <w:rPr/>
              <w:t>)</w:t>
            </w:r>
          </w:p>
        </w:tc>
      </w:tr>
      <w:tr>
        <w:trPr/>
        <w:tc>
          <w:tcPr>
            <w:tcW w:w="6519" w:type="dxa"/>
            <w:tcBorders/>
            <w:shd w:fill="CCEEFF" w:val="clear"/>
            <w:vAlign w:val="center"/>
          </w:tcPr>
          <w:p>
            <w:pPr>
              <w:pStyle w:val="TableContents"/>
              <w:bidi w:val="0"/>
              <w:spacing w:before="0" w:after="283"/>
              <w:jc w:val="left"/>
              <w:rPr/>
            </w:pPr>
            <w:r>
              <w:rPr/>
              <w:t>(Loss) Income from operations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(7,798</w:t>
            </w:r>
          </w:p>
        </w:tc>
        <w:tc>
          <w:tcPr>
            <w:tcW w:w="224"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32,912</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4,850</w:t>
            </w:r>
          </w:p>
        </w:tc>
        <w:tc>
          <w:tcPr>
            <w:tcW w:w="103" w:type="dxa"/>
            <w:tcBorders/>
            <w:shd w:fill="CCEEFF" w:val="clear"/>
            <w:vAlign w:val="center"/>
          </w:tcPr>
          <w:p>
            <w:pPr>
              <w:pStyle w:val="TableContents"/>
              <w:bidi w:val="0"/>
              <w:spacing w:before="0" w:after="283"/>
              <w:ind w:left="0" w:right="0" w:hanging="180"/>
              <w:jc w:val="left"/>
              <w:rPr/>
            </w:pPr>
            <w:r>
              <w:rPr/>
              <w:t> </w:t>
            </w:r>
          </w:p>
        </w:tc>
      </w:tr>
      <w:tr>
        <w:trPr/>
        <w:tc>
          <w:tcPr>
            <w:tcW w:w="6519" w:type="dxa"/>
            <w:tcBorders/>
            <w:shd w:fill="FFFFFF" w:val="clear"/>
            <w:vAlign w:val="center"/>
          </w:tcPr>
          <w:p>
            <w:pPr>
              <w:pStyle w:val="TableContents"/>
              <w:bidi w:val="0"/>
              <w:spacing w:before="0" w:after="283"/>
              <w:jc w:val="left"/>
              <w:rPr/>
            </w:pPr>
            <w:r>
              <w:rPr/>
              <w:t>Net (loss) income from continuing operations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(473,345</w:t>
            </w:r>
          </w:p>
        </w:tc>
        <w:tc>
          <w:tcPr>
            <w:tcW w:w="224"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48,076</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7,085</w:t>
            </w:r>
          </w:p>
        </w:tc>
        <w:tc>
          <w:tcPr>
            <w:tcW w:w="103" w:type="dxa"/>
            <w:tcBorders/>
            <w:shd w:fill="FFFFFF" w:val="clear"/>
            <w:vAlign w:val="center"/>
          </w:tcPr>
          <w:p>
            <w:pPr>
              <w:pStyle w:val="TableContents"/>
              <w:bidi w:val="0"/>
              <w:spacing w:before="0" w:after="283"/>
              <w:ind w:left="0" w:right="0" w:hanging="180"/>
              <w:jc w:val="left"/>
              <w:rPr/>
            </w:pPr>
            <w:r>
              <w:rPr/>
              <w:t> </w:t>
            </w:r>
          </w:p>
        </w:tc>
      </w:tr>
      <w:tr>
        <w:trPr/>
        <w:tc>
          <w:tcPr>
            <w:tcW w:w="6519" w:type="dxa"/>
            <w:tcBorders/>
            <w:shd w:fill="CCEEFF" w:val="clear"/>
            <w:vAlign w:val="center"/>
          </w:tcPr>
          <w:p>
            <w:pPr>
              <w:pStyle w:val="TableContents"/>
              <w:bidi w:val="0"/>
              <w:spacing w:before="0" w:after="283"/>
              <w:jc w:val="left"/>
              <w:rPr/>
            </w:pPr>
            <w:r>
              <w:rPr/>
              <w:t>Net income from discontinued operations, net of tax</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3,230</w:t>
            </w:r>
          </w:p>
        </w:tc>
        <w:tc>
          <w:tcPr>
            <w:tcW w:w="224"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ind w:left="0" w:right="0" w:hanging="180"/>
              <w:jc w:val="left"/>
              <w:rPr/>
            </w:pPr>
            <w:r>
              <w:rPr/>
              <w:t> </w:t>
            </w:r>
          </w:p>
        </w:tc>
      </w:tr>
      <w:tr>
        <w:trPr/>
        <w:tc>
          <w:tcPr>
            <w:tcW w:w="6519" w:type="dxa"/>
            <w:tcBorders/>
            <w:shd w:fill="FFFFFF" w:val="clear"/>
            <w:vAlign w:val="center"/>
          </w:tcPr>
          <w:p>
            <w:pPr>
              <w:pStyle w:val="TableContents"/>
              <w:bidi w:val="0"/>
              <w:spacing w:before="0" w:after="283"/>
              <w:jc w:val="left"/>
              <w:rPr/>
            </w:pPr>
            <w:r>
              <w:rPr/>
              <w:t>Net (loss) income attributable to the Company’s shareholders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(465,709</w:t>
            </w:r>
          </w:p>
        </w:tc>
        <w:tc>
          <w:tcPr>
            <w:tcW w:w="224"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48,283</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7,116</w:t>
            </w:r>
          </w:p>
        </w:tc>
        <w:tc>
          <w:tcPr>
            <w:tcW w:w="103" w:type="dxa"/>
            <w:tcBorders/>
            <w:shd w:fill="FFFFFF" w:val="clear"/>
            <w:vAlign w:val="center"/>
          </w:tcPr>
          <w:p>
            <w:pPr>
              <w:pStyle w:val="TableContents"/>
              <w:bidi w:val="0"/>
              <w:spacing w:before="0" w:after="283"/>
              <w:ind w:left="0" w:right="0" w:hanging="180"/>
              <w:jc w:val="left"/>
              <w:rPr/>
            </w:pPr>
            <w:r>
              <w:rPr/>
              <w:t> </w:t>
            </w:r>
          </w:p>
        </w:tc>
      </w:tr>
      <w:tr>
        <w:trPr/>
        <w:tc>
          <w:tcPr>
            <w:tcW w:w="6519" w:type="dxa"/>
            <w:tcBorders/>
            <w:shd w:fill="CCEEFF" w:val="clear"/>
            <w:vAlign w:val="center"/>
          </w:tcPr>
          <w:p>
            <w:pPr>
              <w:pStyle w:val="TableContents"/>
              <w:bidi w:val="0"/>
              <w:spacing w:before="0" w:after="283"/>
              <w:jc w:val="left"/>
              <w:rPr/>
            </w:pPr>
            <w:r>
              <w:rPr/>
              <w:t>Net (loss) income per share attributable to the Company’s shareholders - basic and diluted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(1,696.4</w:t>
            </w:r>
          </w:p>
        </w:tc>
        <w:tc>
          <w:tcPr>
            <w:tcW w:w="224"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8.2</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1.2</w:t>
            </w:r>
          </w:p>
        </w:tc>
        <w:tc>
          <w:tcPr>
            <w:tcW w:w="10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140"/>
        <w:gridCol w:w="6470"/>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Retrospectively restated for the 1-for-20 reverse split effected on June 16,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revenues are derived primarily from the provision of insurance agency services and sales of health and wellness products. Our insurance agency services primarily comprise of distribution of long-term life insurance products and, to a lesser extent, short-term insurance products to individuals, and commercial property insurance products to corporate clients. Sales of health and wellness products primarily represent sales of premium dark tea to corporate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total net revenues earned from services and sales, both in absolute amounts and as percentages of total net revenues, for the periods indicated:</w:t>
      </w:r>
    </w:p>
    <w:p>
      <w:pPr>
        <w:pStyle w:val="TextBody"/>
        <w:bidi w:val="0"/>
        <w:spacing w:before="0" w:after="0"/>
        <w:ind w:left="0" w:right="0" w:hanging="0"/>
        <w:jc w:val="both"/>
        <w:rPr>
          <w:caps w:val="false"/>
          <w:smallCaps w:val="false"/>
        </w:rPr>
      </w:pPr>
      <w:r>
        <w:rPr>
          <w:caps w:val="false"/>
          <w:smallCaps w:val="false"/>
        </w:rPr>
        <w:t> </w:t>
      </w:r>
    </w:p>
    <w:tbl>
      <w:tblPr>
        <w:tblW w:w="7920" w:type="dxa"/>
        <w:jc w:val="left"/>
        <w:tblInd w:w="0" w:type="dxa"/>
        <w:tblLayout w:type="fixed"/>
        <w:tblCellMar>
          <w:top w:w="0" w:type="dxa"/>
          <w:left w:w="0" w:type="dxa"/>
          <w:bottom w:w="0" w:type="dxa"/>
          <w:right w:w="0" w:type="dxa"/>
        </w:tblCellMar>
      </w:tblPr>
      <w:tblGrid>
        <w:gridCol w:w="3725"/>
        <w:gridCol w:w="60"/>
        <w:gridCol w:w="60"/>
        <w:gridCol w:w="800"/>
        <w:gridCol w:w="60"/>
        <w:gridCol w:w="60"/>
        <w:gridCol w:w="60"/>
        <w:gridCol w:w="560"/>
        <w:gridCol w:w="60"/>
        <w:gridCol w:w="60"/>
        <w:gridCol w:w="60"/>
        <w:gridCol w:w="800"/>
        <w:gridCol w:w="60"/>
        <w:gridCol w:w="60"/>
        <w:gridCol w:w="60"/>
        <w:gridCol w:w="680"/>
        <w:gridCol w:w="60"/>
        <w:gridCol w:w="60"/>
        <w:gridCol w:w="60"/>
        <w:gridCol w:w="440"/>
        <w:gridCol w:w="75"/>
      </w:tblGrid>
      <w:tr>
        <w:trPr/>
        <w:tc>
          <w:tcPr>
            <w:tcW w:w="37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060"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060" w:type="dxa"/>
            <w:gridSpan w:val="18"/>
            <w:tcBorders/>
            <w:vAlign w:val="center"/>
          </w:tcPr>
          <w:p>
            <w:pPr>
              <w:pStyle w:val="TableContents"/>
              <w:bidi w:val="0"/>
              <w:spacing w:before="0" w:after="283"/>
              <w:jc w:val="center"/>
              <w:rPr>
                <w:b/>
              </w:rPr>
            </w:pPr>
            <w:r>
              <w:rPr>
                <w:b/>
              </w:rPr>
              <w:t>(in thousands except percentages)</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b/>
              </w:rPr>
            </w:pPr>
            <w:r>
              <w:rPr>
                <w:b/>
              </w:rPr>
              <w:t>Net revenue generated from services</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Life insurance business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267,881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209,373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92.6</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Non-life insurance business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29,566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15,120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2,228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pPr>
            <w:r>
              <w:rPr/>
              <w:t>6.7</w:t>
            </w:r>
          </w:p>
        </w:tc>
        <w:tc>
          <w:tcPr>
            <w:tcW w:w="7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b/>
              </w:rPr>
            </w:pPr>
            <w:r>
              <w:rPr>
                <w:b/>
              </w:rPr>
              <w:t>Total net revenue from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297,447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224,493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33,086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b/>
              </w:rPr>
            </w:pPr>
            <w:r>
              <w:rPr>
                <w:b/>
              </w:rPr>
              <w:t>99.3</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b/>
              </w:rPr>
            </w:pPr>
            <w:r>
              <w:rPr>
                <w:b/>
              </w:rPr>
              <w:t>Net revenue generated from sales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0.7</w:t>
            </w:r>
          </w:p>
        </w:tc>
        <w:tc>
          <w:tcPr>
            <w:tcW w:w="7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both"/>
              <w:rPr>
                <w:b/>
              </w:rPr>
            </w:pPr>
            <w:r>
              <w:rPr>
                <w:b/>
              </w:rPr>
              <w:t>Total net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297,447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226,180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33,334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revenues were RMB226.2 million (US$33.3 million) for the six months ended June 30, 2026, representing a decrease of 24.0% from RMB297.4 million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gross written premiums (“GWP”) of insurance products that we facilitated was RMB7,003.0 million for the six months ended June 30, 2026, representing a decrease of 14.4% from RMB8,177.3 million for the same period of 2025, of which first year premiums (“FYP”) increased by 8.2% year-over-year from RMB520.5 million to RMB563.2 million while renewal premiums decreased by 15.9% year-over-year from RMB7,656.8 million to RMB6,439.8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revenues generated from the life insurance business were RMB209.4 million (US$30.9 million) for the six months ended June 30, 2026, representing a decrease of 21.8% from RMB267.9 million for the six months ended June 30, 2025. The decrease was primarily attributable to a shift in product mix toward shorter-duration, savings-oriented products, as well as a decline in renewal commissions resulting from reduced new business volume in prior periods, alongside intensified industry competition following the full implementation of the “alignment of reported and actual expenses” policy in the insurance agency/broker channel. Total life insurance GWP decreased by 14.6% year-over-year from RMB8,106.9 million to RMB6,925.0 million, of which life insurance FYP increased by 7.8% year-over-year from RMB447.3 million to RMB485.1 million while renewal premiums decreased by 15.9% year-over-year from RMB7,656.8 million to RMB6,439.8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50" w:right="0" w:hanging="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generated from our life insurance business accounted for 92.6% of our total net revenues in the first half of 2026, as compared to 90.1% in the same period of 2025.</w:t>
      </w:r>
    </w:p>
    <w:p>
      <w:pPr>
        <w:pStyle w:val="TextBody"/>
        <w:bidi w:val="0"/>
        <w:spacing w:before="0" w:after="0"/>
        <w:ind w:left="750" w:right="0" w:hanging="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generated from the non-life insurance business were RMB15.1 million (US$2.2 million) for the six months ended June 30, 2026, representing a decrease of 48.9% from RMB29.6 million for the six months ended June 30, 2025. The decrease in non-life insurance revenues was mainly due to a change of product mix. Although premiums from our non-life insurance business, which mainly comprises the distribution of commercial line of property and casualty insurance products, increased by 10.8% from RMB70.4 million for the six months ended June 30, 2025 to RMB78.1 million for the six months ended June 30, 2026, the proportion of products with lower commission rates rose, resulting in lower revenue despite higher premium volume. Net revenues generated from the non-life insurance business accounted for 6.7% of our total net revenues for the six months ended June 30, 2026, as compared to 9.9% in the same period of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 generated from sales of health and wellness products were RMB1.7 million (US$0.2 million) for the six months ended June 30, 2026, following the Company’s expansion into this segment after acquiring a premium inventory of dark tea products on January 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from sales of health and wellness products accounted for 0.7% of our total net revenues in the first half of 2026, as compared to nil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Costs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costs and expenses primarily consist of costs incurred in connection with the distribution of insurance products, selling expenses and general and administrative expenses. The following table sets forth the components of our operating costs and expenses, both in absolute amounts and as percentages of our net revenues, for the periods indicated.</w:t>
      </w:r>
    </w:p>
    <w:p>
      <w:pPr>
        <w:pStyle w:val="TextBody"/>
        <w:bidi w:val="0"/>
        <w:spacing w:before="0" w:after="0"/>
        <w:ind w:left="0" w:right="0" w:hanging="0"/>
        <w:jc w:val="both"/>
        <w:rPr>
          <w:caps w:val="false"/>
          <w:smallCaps w:val="false"/>
        </w:rPr>
      </w:pPr>
      <w:r>
        <w:rPr>
          <w:caps w:val="false"/>
          <w:smallCaps w:val="false"/>
        </w:rPr>
        <w:t> </w:t>
      </w:r>
    </w:p>
    <w:tbl>
      <w:tblPr>
        <w:tblW w:w="7830" w:type="dxa"/>
        <w:jc w:val="left"/>
        <w:tblInd w:w="0" w:type="dxa"/>
        <w:tblLayout w:type="fixed"/>
        <w:tblCellMar>
          <w:top w:w="0" w:type="dxa"/>
          <w:left w:w="0" w:type="dxa"/>
          <w:bottom w:w="0" w:type="dxa"/>
          <w:right w:w="0" w:type="dxa"/>
        </w:tblCellMar>
      </w:tblPr>
      <w:tblGrid>
        <w:gridCol w:w="3545"/>
        <w:gridCol w:w="60"/>
        <w:gridCol w:w="60"/>
        <w:gridCol w:w="875"/>
        <w:gridCol w:w="95"/>
        <w:gridCol w:w="60"/>
        <w:gridCol w:w="60"/>
        <w:gridCol w:w="380"/>
        <w:gridCol w:w="60"/>
        <w:gridCol w:w="60"/>
        <w:gridCol w:w="60"/>
        <w:gridCol w:w="875"/>
        <w:gridCol w:w="95"/>
        <w:gridCol w:w="60"/>
        <w:gridCol w:w="60"/>
        <w:gridCol w:w="755"/>
        <w:gridCol w:w="95"/>
        <w:gridCol w:w="60"/>
        <w:gridCol w:w="60"/>
        <w:gridCol w:w="380"/>
        <w:gridCol w:w="75"/>
      </w:tblGrid>
      <w:tr>
        <w:trPr/>
        <w:tc>
          <w:tcPr>
            <w:tcW w:w="35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150"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150" w:type="dxa"/>
            <w:gridSpan w:val="18"/>
            <w:tcBorders/>
            <w:vAlign w:val="center"/>
          </w:tcPr>
          <w:p>
            <w:pPr>
              <w:pStyle w:val="TableContents"/>
              <w:bidi w:val="0"/>
              <w:spacing w:before="0" w:after="283"/>
              <w:jc w:val="center"/>
              <w:rPr>
                <w:b/>
              </w:rPr>
            </w:pPr>
            <w:r>
              <w:rPr>
                <w:b/>
              </w:rPr>
              <w:t>(in thousands except percentages)</w:t>
            </w:r>
          </w:p>
        </w:tc>
        <w:tc>
          <w:tcPr>
            <w:tcW w:w="7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both"/>
              <w:rPr>
                <w:b/>
              </w:rPr>
            </w:pPr>
            <w:r>
              <w:rPr>
                <w:b/>
              </w:rPr>
              <w:t>Total net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297,447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226,180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33,334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both"/>
              <w:rPr/>
            </w:pPr>
            <w:r>
              <w:rPr/>
              <w:t>Operating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(142,567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(98,597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(14,531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44</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both"/>
              <w:rPr/>
            </w:pPr>
            <w:r>
              <w:rPr/>
              <w:t>Selling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(23,171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(24,926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both"/>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(139,507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right"/>
              <w:rPr/>
            </w:pPr>
            <w:r>
              <w:rPr/>
              <w:t>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(69,745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(10,279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right"/>
              <w:rPr/>
            </w:pPr>
            <w:r>
              <w:rPr/>
              <w:t>31</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both"/>
              <w:rPr>
                <w:b/>
              </w:rPr>
            </w:pPr>
            <w:r>
              <w:rPr>
                <w:b/>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(305,245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(193,268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(28,484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 costs primarily in connection with the distribution of insurance products, primarily representing commissions costs paid to sales agents or connected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costs were RMB98.6 million (US$14.5 million) for the six months ended June 30, 2026, representing a decrease of 30.8% from RMB142.6 million for the six months ended June 30, 2025. The decrease was in line with the decrease in net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expenses primarily consist of i) salaries and employment benefits for employees who work in back office below the provincial management level, ii) office rental, telecommunications and office supply expenses incurred in connection with sales activities and iii) advertising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expenses were RMB24.9 million (US$3.7 million) for the six months ended June 30, 2026, representing an increase of 7.6% from RMB23.2 million for the six months ended June 30, 2025. The increase was primarily attributable to a low comparative base, as the corresponding period of 2025 reflected a reversal of previously recognized share-based compensation expenses arising from the forfeiture of share options granted to agents. This increase was partially offset by cost savings from reduced rental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primarily consist of salaries and benefits for our administrative staff, research and development expenses in relation to our mobile and online programs, professional fees paid for valuation, market research, legal and auditing services, share-based compensation expenses for managerial and administrative staff, bad debt expenses for credit loss, depreciations and amortizations, office rental expenses, travel and telecommunications expenses, entertainment expenses, and office supply expenses for our administrative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RMB69.7 million (US$10.3 million) for the six months ended June 30, 2026, representing a decrease of 50.0% from RMB139.5 million for the six months ended June 30, 2025. The decrease was mainly attributable to cost savings from personnel optimization and reduced rental expenses of provincial branch offices and a reduction of RMB15.7 million in share-based compensation expenses, which were recognized in the prior-year period but were not incurred in the current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Loss) Income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factors, income from operation was RMB32.9 million (US$4.9 million) for the six months ended June 30, 2026, as compared with an operating loss of RMB7.8 million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(Loss) Income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fair value change was RMB1.1 million (US$0.2 million) for the six months ended June 30, 2026, as compared to loss from fair value change of RMB18.0 million for the six months ended June 30, 2025. The loss for the six months ended June 30, 2026 primarily represented the fair value changes of our equity investment in BGM Group Ltd. while the loss from fair value change for the six months ended June 30, 2025 primarily represented the fair value change of RMB17.5 million of contingent consideration in regards to business combinations completed in the first quarter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credit losses was a net reversal of negative RMB3.2 million (US$0.5 million) for the six months ended June 30, 2026, as compared with a provision of RMB487.6 million for the six months ended June 30, 2025, mainly representing a reversal of credit loss allowance previously recorded in respect of loans to third parties, due to the collection of RMB3.7 million of such loan receivables in the current period. No interest income has been accrued on the loans this period as collection of the related interest is deemed unlikely.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loss was RMB0.8 million (US$0.1 million) for the six months ended June 30, 2026, as compared to investment income of RMB5.0 million for the six months ended June 30, 2025. The decrease reflected i) losses arising from the disposal of held shares; ii) decrease of cash available for short term investment and the periodic fluctuation in yields from short-term investments in financial products as it is recognized when the investment matures or is disposed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was RMB8.2 million (US$1.2 million) for the six months ended June 30, 2026, representing a decrease of 2.4% from RMB8.4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 from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factors, net income from continuing operations was RMB48.1 million (US$7.1 million) for the six months ended June 30, 2026, as compared to a net loss from continuing operations of RMB473.3 million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from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from discontinued operations was nil for the six months ended June 30, 2026, as compared to RMB3.2 million for the six months ended June 30, 2025, mainly representing gain from the disposal of the claims adjusting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 attributable to the Company’s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the Company’s shareholders was RMB48.3 million (US$7.1 million) for the six months ended June 30, 2026, as compared to net loss attributable to the Company’s shareholders of RMB465.7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net (loss) income per ordinary share attributable to the Company’s shareholders from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income per ordinary share attributable to the Company’s shareholders from continuing operations were RMB8.2 (US$1.2) and RMB8.2 (US$1.2) for the six months ended June 30, 2026, respectively, as compared to basic and diluted net loss per ordinary share from continuing operations attributable to the Company’s shareholders of RMB1,708.2 and RMB1,708.2 for the six months ended June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sources of liquidity have been cash generated from our financing activities. As of June 30, 2026, we had RMB33.3 million (US$4.9 million) in cash and cash equivalents, and RMB0.3 million (US$0.05 million) in short-term investments. Our cash and cash equivalents consist of cash on hand and bank deposits and our short-term investments consisting of short-term, highly liquid investments that are readily convertible to known amounts of cash, and have an insignificant risk of changes in value related to changes in interest rates. Our principal uses of cash have been to fund maintenance of digital platforms, working capital requirements, office equipment purchases, office renovation and rental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need cash to fund our ongoing business needs, such as recruiting and training a professional sales force, enhancing our IT infrastructure and developing the sales capabilities and channels for our tea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current cash and cash equivalents and anticipated cash flow from operations will be sufficient to meet our anticipated cash needs, including our cash needs for working capital and capital expenditures, for at least the next 12 months. We may, however, require additional cash due to changing business conditions or other future developments, including any investments or acquisitions we may decide to pursue. If our existing cash is insufficient to meet our requirements, we may seek to sell additional equity securities, debt securities or borrow from lending institutions. Financing may be unavailable in the amounts we need or on terms acceptable to us, if at all. The sale of additional equity securities, including convertible debt securities, would dilute our earnings per share. The incurrence of debt would divert cash for working capital and capital expenditures to service debt obligations and could result in operating and financial covenants that restrict our operations and our ability to pay dividends to our shareholders. If we are unable to obtain additional equity or debt financing as required, our business operations and prospects may suffer.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following table sets forth our cash flows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40"/>
        <w:gridCol w:w="60"/>
        <w:gridCol w:w="60"/>
        <w:gridCol w:w="875"/>
        <w:gridCol w:w="95"/>
        <w:gridCol w:w="60"/>
        <w:gridCol w:w="60"/>
        <w:gridCol w:w="875"/>
        <w:gridCol w:w="95"/>
        <w:gridCol w:w="60"/>
        <w:gridCol w:w="60"/>
        <w:gridCol w:w="755"/>
        <w:gridCol w:w="110"/>
      </w:tblGrid>
      <w:tr>
        <w:trPr/>
        <w:tc>
          <w:tcPr>
            <w:tcW w:w="70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9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995" w:type="dxa"/>
            <w:gridSpan w:val="10"/>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both"/>
              <w:rPr/>
            </w:pPr>
            <w:r>
              <w:rPr/>
              <w:t>Net cash generated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3,761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554</w:t>
            </w:r>
          </w:p>
        </w:tc>
        <w:tc>
          <w:tcPr>
            <w:tcW w:w="11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283"/>
              <w:jc w:val="both"/>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(104,411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(226,803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(33,426</w:t>
            </w:r>
          </w:p>
        </w:tc>
        <w:tc>
          <w:tcPr>
            <w:tcW w:w="110" w:type="dxa"/>
            <w:tcBorders/>
            <w:shd w:fill="FFFFFF" w:val="clear"/>
            <w:vAlign w:val="center"/>
          </w:tcPr>
          <w:p>
            <w:pPr>
              <w:pStyle w:val="TableContents"/>
              <w:bidi w:val="0"/>
              <w:spacing w:before="0" w:after="283"/>
              <w:jc w:val="left"/>
              <w:rPr/>
            </w:pPr>
            <w:r>
              <w:rPr/>
              <w:t>)</w:t>
            </w:r>
          </w:p>
        </w:tc>
      </w:tr>
      <w:tr>
        <w:trPr/>
        <w:tc>
          <w:tcPr>
            <w:tcW w:w="7040" w:type="dxa"/>
            <w:tcBorders/>
            <w:shd w:fill="CCEEFF" w:val="clear"/>
            <w:vAlign w:val="center"/>
          </w:tcPr>
          <w:p>
            <w:pPr>
              <w:pStyle w:val="TableContents"/>
              <w:bidi w:val="0"/>
              <w:spacing w:before="0" w:after="283"/>
              <w:jc w:val="both"/>
              <w:rPr/>
            </w:pPr>
            <w:r>
              <w:rPr/>
              <w:t>Net cash (used in) generated from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(45,627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233,424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34,402</w:t>
            </w:r>
          </w:p>
        </w:tc>
        <w:tc>
          <w:tcPr>
            <w:tcW w:w="11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283"/>
              <w:jc w:val="both"/>
              <w:rPr/>
            </w:pPr>
            <w:r>
              <w:rPr/>
              <w:t>Net (decrease) increase in cash and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(148,553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10,382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1,530</w:t>
            </w:r>
          </w:p>
        </w:tc>
        <w:tc>
          <w:tcPr>
            <w:tcW w:w="11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both"/>
              <w:rPr/>
            </w:pPr>
            <w:r>
              <w:rPr/>
              <w:t>Cash and cash equivalents and restricted cash at the beginning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245,744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50,256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7,407</w:t>
            </w:r>
          </w:p>
        </w:tc>
        <w:tc>
          <w:tcPr>
            <w:tcW w:w="11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283"/>
              <w:jc w:val="both"/>
              <w:rPr/>
            </w:pPr>
            <w:r>
              <w:rPr/>
              <w:t>Cash and cash equivalents and restricted cash at the end of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96,639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52,782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7,779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generated in operating activities for the six months ended June 30, 2026 was RMB3.8 million (US$0.6 million). This reflected the net income of RMB48.1 million (US$7.1 million), as adjusted for: (i) depreciation expense of RMB2.6 million (US$0.4 million); (ii) non-cash operating lease expense of RMB7.8 million (US$1.2 million); (iii) reversal of allowance for credit losses on financial assets of RMB4.2 million (US$0.6 million); (iv) deferred taxes of RMB10.1 million (US$1.5 million); and (v) investment loss of RMB0.8 million (US$0.1 million). The significant changes in such non-cash and non-operating items were primarily due to depreciation expense, non-cash operating lease expenses, offset by reversal of credit losses on financial assets and deferred taxes. Operating cash flows were affected by a net negative change of RMB41.5million (US$6.1 million) in our operating assets and liabilities, primarily from the effects of: (i) a decrease of contract assets of RMB67.8 million (US$10.0 million); (ii) a decrease of other current assets of RMB3.7 million (US$0.5 million); (iii) an increase of income taxes payable of RMB8.5 million (US$1.3 million); offset by: (i) an increase of accounts receivable of RMB6.3 million (US$0.9 million); (ii) an increase of other receivables of RMB6.3 million (US$0.9 million); (iii) a decrease of accounts payable of RMB36.5 million (US$5.4 million); (iv) a decrease of accrued commissions of RMB13.3 million (US$2.0 million); (v) a decrease of other payables and accrued expenses of RMB45.8 million (US$6.8 million); (vi) a decrease of accrued payroll of RMB6.2 million (US$0.9 million); and (vii) a decrease of lease liabilities of RMB7.3 million (US$1.1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generated from operating activities for the six months ended June 30, 2025 was RMB1.5 million. This reflected the net loss of RMB470.1 million, as adjusted for non-cash and non-operating items, primarily including (i) depreciation expense of RMB2.4 million; (ii)non-cash operating lease expense of RMB17.7 million; (iii) allowance for credit losses on financial assets of RMB486.7 million; (iv) share-based compensation expensesof RMB15.8 million; (v) loss on disposal of investment in an associate of RMB4.3 million; (vi) gain on disposal of property, plant and equipment of RMB1.2 million; (vii) investment income of RMB5.0 million; (viii) net gain on disposal of subsidiaries of RMB9.5 million; (ix) deferred taxes of RMB6.5 million; and (x) interest accrued for other receivables of RMB17.5 million. The significant changes in such non-cash and non-operating items were primarily due to allowance for credit losses on financial assets, non-cash operating lease expense, depreciation expense,share-based compensation expenses,loss on disposal of investment in an associate, offset by interest accrued for other receivables, net gain on disposal of subsidiaries, deferred taxes, investment income and gain on disposal of property, plant and equipment. Operating cash flows were negatively affected by a RMB16.0 million net change in our operating assets and liabilities, primarily from the effects of (i) a decrease of accounts receivable of RMB13.0 million; (ii) a decrease of contract assets of RMB132.3 million; (iii) a decrease of other current assets of RMB221.7 million; (iv) an increase of other payables and accrued expenses of RMB38.9 million; and (v) an increase of income taxes payable of RMB15.4 million; offset by (i) an increase of other receivables of RMB113.3 million; (ii) an increase of other non-current assets of RMB187.3 million; (iii) a decrease of accounts payable of RMB26.9 million; (iv) a decrease of accrued commissions of RMB48.1 million; (v) a decrease of accrued payroll of RMB6.2 million; (vi) a decrease of lease liabilities of RMB17.9 million; and (vii) a decrease of tax liabilities of RMB37.3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six months ended June 30, 2026 was RMB226.8 million (US$33.4 million), primarily attributable to cash used to purchase short-term investment products of RMB3.6 million (US$0.5 million), payment for business acquisitions, net of cash acquired of RMB150.0 million (US$22.1 million), cash paid out for loan receivables from third parties of RMB121.6 million (US$17.9 million), an increase in amounts due from related parties of RMB1.0 million (US$0.1 million), and purchase of property, plant and equipment of RMB2.0 million (US$0.3 million), offset by proceeds from the disposal of short-term investments of RMB7.7 million (US$1.1 million) that matured, consideration received in respect of subsidiaries disposed of in the prior year of RMB38.2 million (US$5.6 million), cash received for loan receivables from third parties of RMB4.7 million (US$0.7 million), proceeds from disposal of property and equipment of RMB0.4 million (US$0.1 million), a decrease in amounts due from related parties of RMB0.7 million (US$0.1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six months ended June 30, 2025 was RMB104.4 million, primarily attributable to cash used to purchase short-term investment products of RMB56.9 million, increase in amounts due from related parties of RMB10.4 million, purchase of property, plant and equipment of RMB1.1 million and disposal of subsidiaries, net of cash disposed of RMB131.1 million, offset by proceeds from the disposal of short-term investments of RMB93.3 million that matured and proceeds from disposal of property and equipment of RMB1.4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generated from financing activities was RMB233.4 million (US$34.4 million) for the six months ended June 30, 2026, attributable to proceeds from ordinary shares issuance of RMB234.7 million (US$34.6 million) partially offset by repayment of bank and other borrowings and other financing outflows of RMB1.3 million (US$0.2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RMB45.6 million for the six months ended June 30, 2025, attributable to repayment of bank borrowings of RMB52.9 million, partially offset by proceeds of issuance of ordinary shares of RMB7.3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Translation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financial results for the six months ended June 30, 2026 are stated in RMB. Translations of amounts from RMB into USD are solely for the convenience of the readers outside of China and were calculated at the rate of US$1.00 = RMB 6.7851, representing the noon buying rate in the City of New York for cable transfers of RMB on June 30, 2026, as set forth in H.10 statistical release of the Federal Reserve Bank of New York. The translation is not intended to imply that the RMB amounts could have been, or could be, converted, realized or settled into USD at such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AIFU’s Insurance Sales and Service Distribution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AIFU’s distribution network consisted of 288 sales outlets in 24 provinces, compared with 360 sales outlets in 24 provinces as of June 30, 2025. The decrease in the number of sales outlets reflected our focus on growing profitable branches, coupled with the challenging decisions to close those which were not yielding profits.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filing contains statements of a forward-looking nature. These statements, including the statements relating to the Company’s future financial and operating results, are made under the “safe harbor” provisions of the U.S. Private Securities Litigation Reform Act of 1995. You can identify these forward-looking statements by terminology such as “will,” “expects,” “believes,” “anticipates,” “intends,” “estimates” and similar statements. Among other things, management’s quotations contain forward-looking statements. These forward-looking statements involve known and unknown risks and uncertainties and are based on current expectations, assumptions, estimates and projections about AIFU and the industry. Potential risks and uncertainties include, but are not limited to, those relating to its ability to attract and retain productive agents, especially entrepreneurial agents, its ability to maintain existing and develop new business relationships with insurance companies, its ability to execute its growth strategy, its ability to adapt to the evolving regulatory environment in the Chinese insurance industry, its ability to compete effectively against its competitors, quarterly variations in its operating results caused by factors beyond its control including macroeconomic conditions in China. Except as otherwise indicated, all information provided in this press release speaks as of the date hereof, and AIFU undertakes no obligation to update any forward-looking statements to reflect subsequent occurring events or circumstances, or changes in its expectations, except as may be required by law. Although AIFU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AIFU is included in AIFU’s filings with the U.S. Securities and Exchange Commission, including its annual report on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AIFU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for shares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86"/>
        <w:gridCol w:w="60"/>
        <w:gridCol w:w="70"/>
        <w:gridCol w:w="1173"/>
        <w:gridCol w:w="60"/>
        <w:gridCol w:w="60"/>
        <w:gridCol w:w="63"/>
        <w:gridCol w:w="1037"/>
        <w:gridCol w:w="60"/>
        <w:gridCol w:w="60"/>
        <w:gridCol w:w="76"/>
        <w:gridCol w:w="1024"/>
        <w:gridCol w:w="76"/>
      </w:tblGrid>
      <w:tr>
        <w:trPr/>
        <w:tc>
          <w:tcPr>
            <w:tcW w:w="6386"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2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June 30,</w:t>
              <w:br/>
              <w:t>2026</w:t>
            </w:r>
          </w:p>
        </w:tc>
        <w:tc>
          <w:tcPr>
            <w:tcW w:w="76" w:type="dxa"/>
            <w:tcBorders/>
            <w:vAlign w:val="center"/>
          </w:tcPr>
          <w:p>
            <w:pPr>
              <w:pStyle w:val="TableContents"/>
              <w:bidi w:val="0"/>
              <w:spacing w:before="0" w:after="283"/>
              <w:ind w:left="0" w:right="0" w:hanging="180"/>
              <w:jc w:val="left"/>
              <w:rPr/>
            </w:pPr>
            <w:r>
              <w:rPr/>
              <w:t> </w:t>
            </w:r>
          </w:p>
        </w:tc>
      </w:tr>
      <w:tr>
        <w:trPr/>
        <w:tc>
          <w:tcPr>
            <w:tcW w:w="63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US$</w:t>
            </w:r>
          </w:p>
        </w:tc>
        <w:tc>
          <w:tcPr>
            <w:tcW w:w="76" w:type="dxa"/>
            <w:tcBorders/>
            <w:vAlign w:val="center"/>
          </w:tcPr>
          <w:p>
            <w:pPr>
              <w:pStyle w:val="TableContents"/>
              <w:bidi w:val="0"/>
              <w:spacing w:before="0" w:after="283"/>
              <w:ind w:left="0" w:right="0" w:hanging="180"/>
              <w:jc w:val="left"/>
              <w:rPr/>
            </w:pPr>
            <w:r>
              <w:rPr/>
              <w:t> </w:t>
            </w:r>
          </w:p>
        </w:tc>
      </w:tr>
      <w:tr>
        <w:trPr/>
        <w:tc>
          <w:tcPr>
            <w:tcW w:w="63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2"/>
            <w:tcBorders/>
            <w:vAlign w:val="center"/>
          </w:tcPr>
          <w:p>
            <w:pPr>
              <w:pStyle w:val="TableContents"/>
              <w:bidi w:val="0"/>
              <w:spacing w:before="0" w:after="283"/>
              <w:jc w:val="center"/>
              <w:rPr>
                <w:b/>
              </w:rPr>
            </w:pPr>
            <w:r>
              <w:rPr>
                <w:b/>
              </w:rPr>
              <w:t>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Unaudited</w:t>
            </w:r>
          </w:p>
        </w:tc>
        <w:tc>
          <w:tcPr>
            <w:tcW w:w="76" w:type="dxa"/>
            <w:tcBorders/>
            <w:vAlign w:val="center"/>
          </w:tcPr>
          <w:p>
            <w:pPr>
              <w:pStyle w:val="TableContents"/>
              <w:bidi w:val="0"/>
              <w:spacing w:before="0" w:after="283"/>
              <w:ind w:left="0" w:right="0" w:hanging="180"/>
              <w:jc w:val="left"/>
              <w:rPr/>
            </w:pPr>
            <w:r>
              <w:rPr/>
              <w:t> </w:t>
            </w:r>
          </w:p>
        </w:tc>
      </w:tr>
      <w:tr>
        <w:trPr/>
        <w:tc>
          <w:tcPr>
            <w:tcW w:w="63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76" w:type="dxa"/>
            <w:tcBorders/>
            <w:vAlign w:val="center"/>
          </w:tcPr>
          <w:p>
            <w:pPr>
              <w:pStyle w:val="TableContents"/>
              <w:bidi w:val="0"/>
              <w:spacing w:before="0" w:after="283"/>
              <w:ind w:left="0" w:right="0" w:hanging="180"/>
              <w:jc w:val="left"/>
              <w:rPr/>
            </w:pPr>
            <w:r>
              <w:rPr/>
              <w:t> </w:t>
            </w:r>
          </w:p>
        </w:tc>
      </w:tr>
      <w:tr>
        <w:trPr/>
        <w:tc>
          <w:tcPr>
            <w:tcW w:w="6386"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243"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180"/>
              <w:jc w:val="left"/>
              <w:rPr/>
            </w:pPr>
            <w:r>
              <w:rPr/>
              <w:t> </w:t>
            </w:r>
          </w:p>
        </w:tc>
      </w:tr>
      <w:tr>
        <w:trPr/>
        <w:tc>
          <w:tcPr>
            <w:tcW w:w="6386"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243"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180"/>
              <w:jc w:val="left"/>
              <w:rPr/>
            </w:pPr>
            <w:r>
              <w:rPr/>
              <w:t> </w:t>
            </w:r>
          </w:p>
        </w:tc>
      </w:tr>
      <w:tr>
        <w:trPr/>
        <w:tc>
          <w:tcPr>
            <w:tcW w:w="6386"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31,095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33,326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4,912</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6386"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3,679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542</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6386" w:type="dxa"/>
            <w:tcBorders/>
            <w:shd w:fill="CCEEFF" w:val="clear"/>
            <w:vAlign w:val="center"/>
          </w:tcPr>
          <w:p>
            <w:pPr>
              <w:pStyle w:val="TableContents"/>
              <w:bidi w:val="0"/>
              <w:spacing w:before="0" w:after="283"/>
              <w:jc w:val="left"/>
              <w:rPr/>
            </w:pPr>
            <w:r>
              <w:rPr/>
              <w:t>Securities available for sale, at fair value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51</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6386" w:type="dxa"/>
            <w:tcBorders/>
            <w:shd w:fill="FFFFFF" w:val="clear"/>
            <w:vAlign w:val="center"/>
          </w:tcPr>
          <w:p>
            <w:pPr>
              <w:pStyle w:val="TableContents"/>
              <w:bidi w:val="0"/>
              <w:spacing w:before="0" w:after="283"/>
              <w:jc w:val="left"/>
              <w:rPr/>
            </w:pPr>
            <w:r>
              <w:rPr/>
              <w:t>Equity securities, at fair value</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2,746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6386" w:type="dxa"/>
            <w:tcBorders/>
            <w:shd w:fill="CCEEFF" w:val="clear"/>
            <w:vAlign w:val="center"/>
          </w:tcPr>
          <w:p>
            <w:pPr>
              <w:pStyle w:val="TableContents"/>
              <w:bidi w:val="0"/>
              <w:spacing w:before="0" w:after="283"/>
              <w:jc w:val="left"/>
              <w:rPr/>
            </w:pPr>
            <w:r>
              <w:rPr/>
              <w:t>Accounts receivable, net of allowances of RMB1,858 and RMB906 as of December 31, 2025 and June 30, 2026, respectively</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65,533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72,772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10,725</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6386" w:type="dxa"/>
            <w:tcBorders/>
            <w:shd w:fill="FFFFFF" w:val="clear"/>
            <w:vAlign w:val="center"/>
          </w:tcPr>
          <w:p>
            <w:pPr>
              <w:pStyle w:val="TableContents"/>
              <w:bidi w:val="0"/>
              <w:spacing w:before="0" w:after="283"/>
              <w:jc w:val="left"/>
              <w:rPr/>
            </w:pPr>
            <w:r>
              <w:rPr/>
              <w:t>Contract assets, net of allowances of 164 and RMB160 as of December 31, 2025 and June 30, 2026, respectively</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182,453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160,332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23,630</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6386" w:type="dxa"/>
            <w:tcBorders/>
            <w:shd w:fill="CCEEFF" w:val="clear"/>
            <w:vAlign w:val="center"/>
          </w:tcPr>
          <w:p>
            <w:pPr>
              <w:pStyle w:val="TableContents"/>
              <w:bidi w:val="0"/>
              <w:spacing w:before="0" w:after="283"/>
              <w:jc w:val="left"/>
              <w:rPr/>
            </w:pPr>
            <w:r>
              <w:rPr/>
              <w:t>Other receivables, net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288,339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143,232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21,110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6386"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867,560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127,863</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6386" w:type="dxa"/>
            <w:tcBorders/>
            <w:shd w:fill="CCEEFF" w:val="clear"/>
            <w:vAlign w:val="center"/>
          </w:tcPr>
          <w:p>
            <w:pPr>
              <w:pStyle w:val="TableContents"/>
              <w:bidi w:val="0"/>
              <w:spacing w:before="0" w:after="283"/>
              <w:jc w:val="left"/>
              <w:rPr/>
            </w:pPr>
            <w:r>
              <w:rPr/>
              <w:t>Amounts due from a related party</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13,252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13,349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1,967</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6386"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14,809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13,967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2,058</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6386"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603,779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1,308,563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192,858</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63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6386"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6386" w:type="dxa"/>
            <w:tcBorders/>
            <w:shd w:fill="FFFFFF" w:val="clear"/>
            <w:vAlign w:val="center"/>
          </w:tcPr>
          <w:p>
            <w:pPr>
              <w:pStyle w:val="TableContents"/>
              <w:bidi w:val="0"/>
              <w:spacing w:before="0" w:after="283"/>
              <w:jc w:val="left"/>
              <w:rPr/>
            </w:pPr>
            <w:r>
              <w:rPr/>
              <w:t>Restricted bank deposit – non-current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16,059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15,777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2,325</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6386" w:type="dxa"/>
            <w:tcBorders/>
            <w:shd w:fill="CCEEFF" w:val="clear"/>
            <w:vAlign w:val="center"/>
          </w:tcPr>
          <w:p>
            <w:pPr>
              <w:pStyle w:val="TableContents"/>
              <w:bidi w:val="0"/>
              <w:spacing w:before="0" w:after="283"/>
              <w:jc w:val="left"/>
              <w:rPr/>
            </w:pPr>
            <w:r>
              <w:rPr/>
              <w:t>Contract assets - non-current, net of allowances of RMB509 and RMB520 as of December 31, 2025 and June 30, 2026, respectively</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565,418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519,695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76,594</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6386" w:type="dxa"/>
            <w:tcBorders/>
            <w:shd w:fill="FFFFFF" w:val="clear"/>
            <w:vAlign w:val="center"/>
          </w:tcPr>
          <w:p>
            <w:pPr>
              <w:pStyle w:val="TableContents"/>
              <w:bidi w:val="0"/>
              <w:spacing w:before="0" w:after="283"/>
              <w:jc w:val="left"/>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62,876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62,111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9,154</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6386"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8,902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12,831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1,891</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6386"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237,475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41,662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6,140</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6386" w:type="dxa"/>
            <w:tcBorders/>
            <w:shd w:fill="CCEEFF" w:val="clear"/>
            <w:vAlign w:val="center"/>
          </w:tcPr>
          <w:p>
            <w:pPr>
              <w:pStyle w:val="TableContents"/>
              <w:bidi w:val="0"/>
              <w:spacing w:before="0" w:after="283"/>
              <w:jc w:val="left"/>
              <w:rPr/>
            </w:pPr>
            <w:r>
              <w:rPr/>
              <w:t>Right-of-use assets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33,589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26,183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3,859</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6386"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924,319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678,259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99,963</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6386"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1,528,098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1,986,822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292,821</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AIFU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 (continued)</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33"/>
        <w:gridCol w:w="60"/>
        <w:gridCol w:w="63"/>
        <w:gridCol w:w="1056"/>
        <w:gridCol w:w="95"/>
        <w:gridCol w:w="60"/>
        <w:gridCol w:w="63"/>
        <w:gridCol w:w="1037"/>
        <w:gridCol w:w="95"/>
        <w:gridCol w:w="60"/>
        <w:gridCol w:w="76"/>
        <w:gridCol w:w="1024"/>
        <w:gridCol w:w="83"/>
      </w:tblGrid>
      <w:tr>
        <w:trPr/>
        <w:tc>
          <w:tcPr>
            <w:tcW w:w="6433"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11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December 31,</w:t>
              <w:b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br/>
              <w:t>June 30,</w:t>
              <w:br/>
              <w:t>2026</w:t>
            </w:r>
          </w:p>
        </w:tc>
        <w:tc>
          <w:tcPr>
            <w:tcW w:w="83" w:type="dxa"/>
            <w:tcBorders/>
            <w:vAlign w:val="center"/>
          </w:tcPr>
          <w:p>
            <w:pPr>
              <w:pStyle w:val="TableContents"/>
              <w:bidi w:val="0"/>
              <w:spacing w:before="0" w:after="283"/>
              <w:ind w:left="0" w:right="0" w:hanging="180"/>
              <w:jc w:val="center"/>
              <w:rPr/>
            </w:pPr>
            <w:r>
              <w:rPr/>
              <w:t> </w:t>
            </w:r>
          </w:p>
        </w:tc>
      </w:tr>
      <w:tr>
        <w:trPr/>
        <w:tc>
          <w:tcPr>
            <w:tcW w:w="643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9"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US$</w:t>
            </w:r>
          </w:p>
        </w:tc>
        <w:tc>
          <w:tcPr>
            <w:tcW w:w="83" w:type="dxa"/>
            <w:tcBorders/>
            <w:vAlign w:val="center"/>
          </w:tcPr>
          <w:p>
            <w:pPr>
              <w:pStyle w:val="TableContents"/>
              <w:bidi w:val="0"/>
              <w:spacing w:before="0" w:after="283"/>
              <w:ind w:left="0" w:right="0" w:hanging="180"/>
              <w:jc w:val="center"/>
              <w:rPr/>
            </w:pPr>
            <w:r>
              <w:rPr/>
              <w:t> </w:t>
            </w:r>
          </w:p>
        </w:tc>
      </w:tr>
      <w:tr>
        <w:trPr/>
        <w:tc>
          <w:tcPr>
            <w:tcW w:w="643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9" w:type="dxa"/>
            <w:gridSpan w:val="2"/>
            <w:tcBorders/>
            <w:vAlign w:val="center"/>
          </w:tcPr>
          <w:p>
            <w:pPr>
              <w:pStyle w:val="TableContents"/>
              <w:bidi w:val="0"/>
              <w:spacing w:before="0" w:after="283"/>
              <w:jc w:val="center"/>
              <w:rPr>
                <w:b/>
              </w:rPr>
            </w:pPr>
            <w:r>
              <w:rPr>
                <w:b/>
              </w:rPr>
              <w:t>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Unaudited</w:t>
            </w:r>
          </w:p>
        </w:tc>
        <w:tc>
          <w:tcPr>
            <w:tcW w:w="83" w:type="dxa"/>
            <w:tcBorders/>
            <w:vAlign w:val="center"/>
          </w:tcPr>
          <w:p>
            <w:pPr>
              <w:pStyle w:val="TableContents"/>
              <w:bidi w:val="0"/>
              <w:spacing w:before="0" w:after="283"/>
              <w:ind w:left="0" w:right="0" w:hanging="180"/>
              <w:jc w:val="center"/>
              <w:rPr/>
            </w:pPr>
            <w:r>
              <w:rPr/>
              <w:t> </w:t>
            </w:r>
          </w:p>
        </w:tc>
      </w:tr>
      <w:tr>
        <w:trPr/>
        <w:tc>
          <w:tcPr>
            <w:tcW w:w="6433" w:type="dxa"/>
            <w:tcBorders/>
            <w:vAlign w:val="center"/>
          </w:tcPr>
          <w:p>
            <w:pPr>
              <w:pStyle w:val="TableContents"/>
              <w:bidi w:val="0"/>
              <w:spacing w:before="0" w:after="283"/>
              <w:jc w:val="left"/>
              <w:rPr>
                <w:b/>
              </w:rPr>
            </w:pPr>
            <w:r>
              <w:rPr>
                <w:b/>
              </w:rPr>
              <w:t>LIABILITIES AND EQUITY:</w:t>
            </w:r>
          </w:p>
        </w:tc>
        <w:tc>
          <w:tcPr>
            <w:tcW w:w="60" w:type="dxa"/>
            <w:tcBorders/>
            <w:vAlign w:val="center"/>
          </w:tcPr>
          <w:p>
            <w:pPr>
              <w:pStyle w:val="TableContents"/>
              <w:bidi w:val="0"/>
              <w:spacing w:before="0" w:after="283"/>
              <w:jc w:val="left"/>
              <w:rPr/>
            </w:pPr>
            <w:r>
              <w:rPr/>
              <w:t> </w:t>
            </w:r>
          </w:p>
        </w:tc>
        <w:tc>
          <w:tcPr>
            <w:tcW w:w="111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left"/>
              <w:rPr>
                <w:b/>
              </w:rPr>
            </w:pPr>
            <w:r>
              <w:rPr>
                <w:b/>
              </w:rPr>
              <w:t>Current liabilities:</w:t>
            </w:r>
          </w:p>
        </w:tc>
        <w:tc>
          <w:tcPr>
            <w:tcW w:w="60" w:type="dxa"/>
            <w:tcBorders/>
            <w:vAlign w:val="center"/>
          </w:tcPr>
          <w:p>
            <w:pPr>
              <w:pStyle w:val="TableContents"/>
              <w:bidi w:val="0"/>
              <w:spacing w:before="0" w:after="283"/>
              <w:jc w:val="left"/>
              <w:rPr/>
            </w:pPr>
            <w:r>
              <w:rPr/>
              <w:t> </w:t>
            </w:r>
          </w:p>
        </w:tc>
        <w:tc>
          <w:tcPr>
            <w:tcW w:w="111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left"/>
              <w:rPr/>
            </w:pPr>
            <w:r>
              <w:rPr/>
              <w:t>Short-term loans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56,000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55,941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8,245</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81,089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71,426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10,527</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left"/>
              <w:rPr/>
            </w:pPr>
            <w:r>
              <w:rPr/>
              <w:t>Accrued commissions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90,076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76,769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11,314</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shd w:fill="FFFFFF" w:val="clear"/>
            <w:vAlign w:val="center"/>
          </w:tcPr>
          <w:p>
            <w:pPr>
              <w:pStyle w:val="TableContents"/>
              <w:bidi w:val="0"/>
              <w:spacing w:before="0" w:after="283"/>
              <w:jc w:val="left"/>
              <w:rPr/>
            </w:pPr>
            <w:r>
              <w:rPr/>
              <w:t>Insurance premium payables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left"/>
              <w:rPr/>
            </w:pPr>
            <w:r>
              <w:rPr/>
              <w:t>Other payables and accrued expenses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184,722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138,837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20,462</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shd w:fill="FFFFFF" w:val="clear"/>
            <w:vAlign w:val="center"/>
          </w:tcPr>
          <w:p>
            <w:pPr>
              <w:pStyle w:val="TableContents"/>
              <w:bidi w:val="0"/>
              <w:spacing w:before="0" w:after="283"/>
              <w:jc w:val="left"/>
              <w:rPr/>
            </w:pPr>
            <w:r>
              <w:rPr/>
              <w:t>Accrued payroll</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17,940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11,803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1,740</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left"/>
              <w:rPr/>
            </w:pPr>
            <w:r>
              <w:rPr/>
              <w:t>Income taxes payable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67,020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75,509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11,129</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FFFFFF" w:val="clear"/>
            <w:tcMar>
              <w:bottom w:w="28" w:type="dxa"/>
            </w:tcMar>
            <w:vAlign w:val="center"/>
          </w:tcPr>
          <w:p>
            <w:pPr>
              <w:pStyle w:val="TableContents"/>
              <w:bidi w:val="0"/>
              <w:spacing w:before="0" w:after="283"/>
              <w:jc w:val="right"/>
              <w:rPr/>
            </w:pPr>
            <w:r>
              <w:rPr/>
              <w:t>15,308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12,217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1,801</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512,161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442,508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65,219</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left"/>
              <w:rPr/>
            </w:pPr>
            <w:r>
              <w:rPr/>
              <w:t>Accrued commissions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316,419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289,604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42,681</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shd w:fill="FFFFFF" w:val="clear"/>
            <w:vAlign w:val="center"/>
          </w:tcPr>
          <w:p>
            <w:pPr>
              <w:pStyle w:val="TableContents"/>
              <w:bidi w:val="0"/>
              <w:spacing w:before="0" w:after="283"/>
              <w:jc w:val="left"/>
              <w:rPr/>
            </w:pPr>
            <w:r>
              <w:rPr/>
              <w:t>Tax liabilities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25,701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25,701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3,788</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187,218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181,055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26,683</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15,463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11,628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1,714</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544,801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507,988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74,866</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1,056,962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950,496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140,085</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shd w:fill="FFFFFF" w:val="clear"/>
            <w:vAlign w:val="center"/>
          </w:tcPr>
          <w:p>
            <w:pPr>
              <w:pStyle w:val="TableContents"/>
              <w:bidi w:val="0"/>
              <w:spacing w:before="0" w:after="283"/>
              <w:jc w:val="left"/>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left"/>
              <w:rPr/>
            </w:pPr>
            <w:r>
              <w:rPr/>
              <w:t>Class A Ordinary shares (US$0.4 par value, 8,000,000,000 shares authorized, 671,764 shares issued and 671,764 shares outstanding as of December 31, 2025; US$0.002 par value, 8,000,000,000 shares authorized, 5,925,748 shares issued and 5,925,748 shares outstanding as of June 30, 2026)*</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38,877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11</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shd w:fill="FFFFFF" w:val="clear"/>
            <w:vAlign w:val="center"/>
          </w:tcPr>
          <w:p>
            <w:pPr>
              <w:pStyle w:val="TableContents"/>
              <w:bidi w:val="0"/>
              <w:spacing w:before="0" w:after="283"/>
              <w:jc w:val="left"/>
              <w:rPr/>
            </w:pPr>
            <w:r>
              <w:rPr/>
              <w:t>Class B Ordinary shares (US$0.4 par value, 2,000,000,000 shares authorized, 375,000 shares issued and 375,000 shares as of December 31, 2025; US$0.002 par value, 2,000,000,000 shares authorized, 250,000 shares issued and 250,000 shares outstanding as of June 30, 2026)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21,373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401,928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1,177,809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173,588</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shd w:fill="FFFFFF" w:val="clear"/>
            <w:vAlign w:val="center"/>
          </w:tcPr>
          <w:p>
            <w:pPr>
              <w:pStyle w:val="TableContents"/>
              <w:bidi w:val="0"/>
              <w:spacing w:before="0" w:after="283"/>
              <w:jc w:val="left"/>
              <w:rPr/>
            </w:pPr>
            <w:r>
              <w:rPr/>
              <w:t>Statutory reserves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343,026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343,026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50,556</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(235,471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(70,418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(10,378</w:t>
            </w:r>
          </w:p>
        </w:tc>
        <w:tc>
          <w:tcPr>
            <w:tcW w:w="83" w:type="dxa"/>
            <w:tcBorders/>
            <w:shd w:fill="CCEEFF" w:val="clear"/>
            <w:vAlign w:val="center"/>
          </w:tcPr>
          <w:p>
            <w:pPr>
              <w:pStyle w:val="TableContents"/>
              <w:bidi w:val="0"/>
              <w:spacing w:before="0" w:after="283"/>
              <w:ind w:left="0" w:right="0" w:hanging="180"/>
              <w:jc w:val="left"/>
              <w:rPr/>
            </w:pPr>
            <w:r>
              <w:rPr/>
              <w:t>)</w:t>
            </w:r>
          </w:p>
        </w:tc>
      </w:tr>
      <w:tr>
        <w:trPr/>
        <w:tc>
          <w:tcPr>
            <w:tcW w:w="6433"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FFFFFF" w:val="clear"/>
            <w:tcMar>
              <w:bottom w:w="28" w:type="dxa"/>
            </w:tcMar>
            <w:vAlign w:val="center"/>
          </w:tcPr>
          <w:p>
            <w:pPr>
              <w:pStyle w:val="TableContents"/>
              <w:bidi w:val="0"/>
              <w:spacing w:before="0" w:after="283"/>
              <w:jc w:val="right"/>
              <w:rPr/>
            </w:pPr>
            <w:r>
              <w:rPr/>
              <w:t>(91,213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(406,582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(59,923</w:t>
            </w:r>
          </w:p>
        </w:tc>
        <w:tc>
          <w:tcPr>
            <w:tcW w:w="83" w:type="dxa"/>
            <w:tcBorders/>
            <w:shd w:fill="FFFFFF" w:val="clear"/>
            <w:vAlign w:val="center"/>
          </w:tcPr>
          <w:p>
            <w:pPr>
              <w:pStyle w:val="TableContents"/>
              <w:bidi w:val="0"/>
              <w:spacing w:before="0" w:after="283"/>
              <w:ind w:left="0" w:right="0" w:hanging="180"/>
              <w:jc w:val="left"/>
              <w:rPr/>
            </w:pPr>
            <w:r>
              <w:rPr/>
              <w:t>)</w:t>
            </w:r>
          </w:p>
        </w:tc>
      </w:tr>
      <w:tr>
        <w:trPr/>
        <w:tc>
          <w:tcPr>
            <w:tcW w:w="6433" w:type="dxa"/>
            <w:tcBorders/>
            <w:shd w:fill="CCEEFF" w:val="clear"/>
            <w:vAlign w:val="center"/>
          </w:tcPr>
          <w:p>
            <w:pPr>
              <w:pStyle w:val="TableContents"/>
              <w:bidi w:val="0"/>
              <w:spacing w:before="0" w:after="283"/>
              <w:jc w:val="left"/>
              <w:rPr>
                <w:b/>
              </w:rPr>
            </w:pPr>
            <w:r>
              <w:rPr>
                <w:b/>
              </w:rPr>
              <w:t>Total AIFU INC. shareholders’ equity</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478,520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1,043,917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153,855</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shd w:fill="FFFFFF" w:val="clear"/>
            <w:vAlign w:val="center"/>
          </w:tcPr>
          <w:p>
            <w:pPr>
              <w:pStyle w:val="TableContents"/>
              <w:bidi w:val="0"/>
              <w:spacing w:before="0" w:after="283"/>
              <w:jc w:val="left"/>
              <w:rPr>
                <w:b/>
              </w:rPr>
            </w:pPr>
            <w:r>
              <w:rPr>
                <w:b/>
              </w:rPr>
              <w:t>Non-controlling interests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(7,384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(7,591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(1,119</w:t>
            </w:r>
          </w:p>
        </w:tc>
        <w:tc>
          <w:tcPr>
            <w:tcW w:w="83" w:type="dxa"/>
            <w:tcBorders/>
            <w:shd w:fill="FFFFFF" w:val="clear"/>
            <w:vAlign w:val="center"/>
          </w:tcPr>
          <w:p>
            <w:pPr>
              <w:pStyle w:val="TableContents"/>
              <w:bidi w:val="0"/>
              <w:spacing w:before="0" w:after="283"/>
              <w:ind w:left="0" w:right="0" w:hanging="180"/>
              <w:jc w:val="left"/>
              <w:rPr>
                <w:b/>
              </w:rPr>
            </w:pPr>
            <w:r>
              <w:rPr>
                <w:b/>
              </w:rPr>
              <w:t>)</w:t>
            </w:r>
          </w:p>
        </w:tc>
      </w:tr>
      <w:tr>
        <w:trPr/>
        <w:tc>
          <w:tcPr>
            <w:tcW w:w="6433"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471,136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1,036,326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152,736</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1,528,098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1,986,822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292,821</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as of December 31, 2025 is retrospectively restated for the 1-for-20 reverse share split effected on June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AIFU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(Loss) Income and Comprehensive (Loss) Income</w:t>
        <w:br/>
        <w:t>(</w:t>
      </w:r>
      <w:r>
        <w:rPr>
          <w:rFonts w:ascii="Times New Roman;Times;Serif" w:hAnsi="Times New Roman;Times;Serif"/>
          <w:b/>
          <w:i/>
          <w:caps w:val="false"/>
          <w:smallCaps w:val="false"/>
          <w:sz w:val="20"/>
        </w:rPr>
        <w:t>In thousands, except for shares and per share data</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57"/>
        <w:gridCol w:w="60"/>
        <w:gridCol w:w="62"/>
        <w:gridCol w:w="915"/>
        <w:gridCol w:w="99"/>
        <w:gridCol w:w="62"/>
        <w:gridCol w:w="62"/>
        <w:gridCol w:w="1025"/>
        <w:gridCol w:w="99"/>
        <w:gridCol w:w="62"/>
        <w:gridCol w:w="62"/>
        <w:gridCol w:w="1025"/>
        <w:gridCol w:w="115"/>
      </w:tblGrid>
      <w:tr>
        <w:trPr/>
        <w:tc>
          <w:tcPr>
            <w:tcW w:w="65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7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15" w:type="dxa"/>
            <w:tcBorders/>
            <w:vAlign w:val="center"/>
          </w:tcPr>
          <w:p>
            <w:pPr>
              <w:pStyle w:val="TableContents"/>
              <w:bidi w:val="0"/>
              <w:spacing w:before="0" w:after="283"/>
              <w:jc w:val="left"/>
              <w:rPr/>
            </w:pPr>
            <w:r>
              <w:rPr/>
              <w:t> </w:t>
            </w:r>
          </w:p>
        </w:tc>
      </w:tr>
      <w:tr>
        <w:trPr/>
        <w:tc>
          <w:tcPr>
            <w:tcW w:w="65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5" w:type="dxa"/>
            <w:tcBorders/>
            <w:vAlign w:val="center"/>
          </w:tcPr>
          <w:p>
            <w:pPr>
              <w:pStyle w:val="TableContents"/>
              <w:bidi w:val="0"/>
              <w:spacing w:before="0" w:after="283"/>
              <w:jc w:val="left"/>
              <w:rPr/>
            </w:pPr>
            <w:r>
              <w:rPr/>
              <w:t> </w:t>
            </w:r>
          </w:p>
        </w:tc>
      </w:tr>
      <w:tr>
        <w:trPr/>
        <w:tc>
          <w:tcPr>
            <w:tcW w:w="65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7" w:type="dxa"/>
            <w:gridSpan w:val="2"/>
            <w:tcBorders/>
            <w:vAlign w:val="center"/>
          </w:tcPr>
          <w:p>
            <w:pPr>
              <w:pStyle w:val="TableContents"/>
              <w:bidi w:val="0"/>
              <w:spacing w:before="0" w:after="283"/>
              <w:jc w:val="center"/>
              <w:rPr>
                <w:b/>
              </w:rPr>
            </w:pPr>
            <w:r>
              <w:rPr>
                <w:b/>
              </w:rPr>
              <w:t>RMB</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center"/>
              <w:rPr>
                <w:b/>
              </w:rPr>
            </w:pPr>
            <w:r>
              <w:rPr>
                <w:b/>
              </w:rPr>
              <w:t>RMB</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center"/>
              <w:rPr>
                <w:b/>
              </w:rPr>
            </w:pPr>
            <w:r>
              <w:rPr>
                <w:b/>
              </w:rPr>
              <w:t>US$</w:t>
            </w:r>
          </w:p>
        </w:tc>
        <w:tc>
          <w:tcPr>
            <w:tcW w:w="115" w:type="dxa"/>
            <w:tcBorders/>
            <w:vAlign w:val="center"/>
          </w:tcPr>
          <w:p>
            <w:pPr>
              <w:pStyle w:val="TableContents"/>
              <w:bidi w:val="0"/>
              <w:spacing w:before="0" w:after="283"/>
              <w:jc w:val="left"/>
              <w:rPr/>
            </w:pPr>
            <w:r>
              <w:rPr/>
              <w:t> </w:t>
            </w:r>
          </w:p>
        </w:tc>
      </w:tr>
      <w:tr>
        <w:trPr/>
        <w:tc>
          <w:tcPr>
            <w:tcW w:w="6557" w:type="dxa"/>
            <w:tcBorders/>
            <w:vAlign w:val="center"/>
          </w:tcPr>
          <w:p>
            <w:pPr>
              <w:pStyle w:val="TableContents"/>
              <w:bidi w:val="0"/>
              <w:spacing w:before="0" w:after="283"/>
              <w:jc w:val="left"/>
              <w:rPr>
                <w:b/>
              </w:rPr>
            </w:pPr>
            <w:r>
              <w:rPr>
                <w:b/>
              </w:rPr>
              <w:t>Net revenues:</w:t>
            </w:r>
          </w:p>
        </w:tc>
        <w:tc>
          <w:tcPr>
            <w:tcW w:w="60" w:type="dxa"/>
            <w:tcBorders/>
            <w:vAlign w:val="center"/>
          </w:tcPr>
          <w:p>
            <w:pPr>
              <w:pStyle w:val="TableContents"/>
              <w:bidi w:val="0"/>
              <w:spacing w:before="0" w:after="283"/>
              <w:jc w:val="left"/>
              <w:rPr/>
            </w:pPr>
            <w:r>
              <w:rPr/>
              <w:t> </w:t>
            </w:r>
          </w:p>
        </w:tc>
        <w:tc>
          <w:tcPr>
            <w:tcW w:w="977" w:type="dxa"/>
            <w:gridSpan w:val="2"/>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ind w:left="0" w:right="0" w:hanging="180"/>
              <w:jc w:val="left"/>
              <w:rPr/>
            </w:pPr>
            <w:r>
              <w:rPr/>
              <w:t> </w:t>
            </w:r>
          </w:p>
        </w:tc>
      </w:tr>
      <w:tr>
        <w:trPr/>
        <w:tc>
          <w:tcPr>
            <w:tcW w:w="6557" w:type="dxa"/>
            <w:tcBorders/>
            <w:shd w:fill="CCEEFF" w:val="clear"/>
            <w:vAlign w:val="center"/>
          </w:tcPr>
          <w:p>
            <w:pPr>
              <w:pStyle w:val="TableContents"/>
              <w:bidi w:val="0"/>
              <w:spacing w:before="0" w:after="283"/>
              <w:jc w:val="left"/>
              <w:rPr/>
            </w:pPr>
            <w:r>
              <w:rPr/>
              <w:t>Revenues generated from Agency services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297,447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224,493</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33,086</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557" w:type="dxa"/>
            <w:tcBorders/>
            <w:shd w:fill="FFFFFF" w:val="clear"/>
            <w:vAlign w:val="center"/>
          </w:tcPr>
          <w:p>
            <w:pPr>
              <w:pStyle w:val="TableContents"/>
              <w:bidi w:val="0"/>
              <w:spacing w:before="0" w:after="283"/>
              <w:jc w:val="left"/>
              <w:rPr>
                <w:i/>
              </w:rPr>
            </w:pPr>
            <w:r>
              <w:rPr>
                <w:i/>
              </w:rPr>
              <w:t>Life insurance business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i/>
              </w:rPr>
            </w:pPr>
            <w:r>
              <w:rPr>
                <w:i/>
              </w:rPr>
              <w:t>267,881</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i/>
              </w:rPr>
            </w:pPr>
            <w:r>
              <w:rPr>
                <w:i/>
              </w:rPr>
              <w:t>209,373</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i/>
              </w:rPr>
            </w:pPr>
            <w:r>
              <w:rPr>
                <w:i/>
              </w:rPr>
              <w:t>30,858</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557" w:type="dxa"/>
            <w:tcBorders/>
            <w:shd w:fill="CCEEFF" w:val="clear"/>
            <w:vAlign w:val="center"/>
          </w:tcPr>
          <w:p>
            <w:pPr>
              <w:pStyle w:val="TableContents"/>
              <w:bidi w:val="0"/>
              <w:spacing w:before="0" w:after="283"/>
              <w:jc w:val="left"/>
              <w:rPr>
                <w:i/>
              </w:rPr>
            </w:pPr>
            <w:r>
              <w:rPr>
                <w:i/>
              </w:rPr>
              <w:t>Non-life insurance business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i/>
              </w:rPr>
            </w:pPr>
            <w:r>
              <w:rPr>
                <w:i/>
              </w:rPr>
              <w:t>29,566</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i/>
              </w:rPr>
            </w:pPr>
            <w:r>
              <w:rPr>
                <w:i/>
              </w:rPr>
              <w:t>15,120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i/>
              </w:rPr>
            </w:pPr>
            <w:r>
              <w:rPr>
                <w:i/>
              </w:rPr>
              <w:t>2,228</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557" w:type="dxa"/>
            <w:tcBorders/>
            <w:shd w:fill="FFFFFF" w:val="clear"/>
            <w:vAlign w:val="center"/>
          </w:tcPr>
          <w:p>
            <w:pPr>
              <w:pStyle w:val="TableContents"/>
              <w:bidi w:val="0"/>
              <w:spacing w:before="0" w:after="283"/>
              <w:jc w:val="left"/>
              <w:rPr/>
            </w:pPr>
            <w:r>
              <w:rPr/>
              <w:t>Revenues generated from sales of health and wellness products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1,687</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248</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557" w:type="dxa"/>
            <w:tcBorders/>
            <w:shd w:fill="CCEEFF" w:val="clear"/>
            <w:vAlign w:val="center"/>
          </w:tcPr>
          <w:p>
            <w:pPr>
              <w:pStyle w:val="TableContents"/>
              <w:bidi w:val="0"/>
              <w:spacing w:before="0" w:after="283"/>
              <w:jc w:val="left"/>
              <w:rPr>
                <w:b/>
              </w:rPr>
            </w:pPr>
            <w:r>
              <w:rPr>
                <w:b/>
              </w:rPr>
              <w:t>Total net revenues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297,447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226,180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33,334</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557" w:type="dxa"/>
            <w:tcBorders/>
            <w:shd w:fill="FFFFFF" w:val="clear"/>
            <w:vAlign w:val="center"/>
          </w:tcPr>
          <w:p>
            <w:pPr>
              <w:pStyle w:val="TableContents"/>
              <w:bidi w:val="0"/>
              <w:spacing w:before="0" w:after="283"/>
              <w:jc w:val="left"/>
              <w:rPr>
                <w:b/>
              </w:rPr>
            </w:pPr>
            <w:r>
              <w:rPr>
                <w:b/>
              </w:rPr>
              <w:t>Operating costs and expenses: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557" w:type="dxa"/>
            <w:tcBorders/>
            <w:shd w:fill="CCEEFF" w:val="clear"/>
            <w:vAlign w:val="center"/>
          </w:tcPr>
          <w:p>
            <w:pPr>
              <w:pStyle w:val="TableContents"/>
              <w:bidi w:val="0"/>
              <w:spacing w:before="0" w:after="283"/>
              <w:jc w:val="left"/>
              <w:rPr/>
            </w:pPr>
            <w:r>
              <w:rPr/>
              <w:t>Cost of Agency services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(142,567</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(96,946</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(14,288</w:t>
            </w:r>
          </w:p>
        </w:tc>
        <w:tc>
          <w:tcPr>
            <w:tcW w:w="115" w:type="dxa"/>
            <w:tcBorders/>
            <w:shd w:fill="CCEEFF" w:val="clear"/>
            <w:vAlign w:val="center"/>
          </w:tcPr>
          <w:p>
            <w:pPr>
              <w:pStyle w:val="TableContents"/>
              <w:bidi w:val="0"/>
              <w:spacing w:before="0" w:after="283"/>
              <w:ind w:left="0" w:right="0" w:hanging="180"/>
              <w:jc w:val="left"/>
              <w:rPr/>
            </w:pPr>
            <w:r>
              <w:rPr/>
              <w:t>)</w:t>
            </w:r>
          </w:p>
        </w:tc>
      </w:tr>
      <w:tr>
        <w:trPr/>
        <w:tc>
          <w:tcPr>
            <w:tcW w:w="6557" w:type="dxa"/>
            <w:tcBorders/>
            <w:shd w:fill="FFFFFF" w:val="clear"/>
            <w:vAlign w:val="center"/>
          </w:tcPr>
          <w:p>
            <w:pPr>
              <w:pStyle w:val="TableContents"/>
              <w:bidi w:val="0"/>
              <w:spacing w:before="0" w:after="283"/>
              <w:jc w:val="left"/>
              <w:rPr/>
            </w:pPr>
            <w:r>
              <w:rPr/>
              <w:t>Life insurance business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(126,440</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(87,716</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(12,928</w:t>
            </w:r>
          </w:p>
        </w:tc>
        <w:tc>
          <w:tcPr>
            <w:tcW w:w="115" w:type="dxa"/>
            <w:tcBorders/>
            <w:shd w:fill="FFFFFF" w:val="clear"/>
            <w:vAlign w:val="center"/>
          </w:tcPr>
          <w:p>
            <w:pPr>
              <w:pStyle w:val="TableContents"/>
              <w:bidi w:val="0"/>
              <w:spacing w:before="0" w:after="283"/>
              <w:ind w:left="0" w:right="0" w:hanging="180"/>
              <w:jc w:val="left"/>
              <w:rPr/>
            </w:pPr>
            <w:r>
              <w:rPr/>
              <w:t>)</w:t>
            </w:r>
          </w:p>
        </w:tc>
      </w:tr>
      <w:tr>
        <w:trPr/>
        <w:tc>
          <w:tcPr>
            <w:tcW w:w="6557" w:type="dxa"/>
            <w:tcBorders/>
            <w:shd w:fill="CCEEFF" w:val="clear"/>
            <w:vAlign w:val="center"/>
          </w:tcPr>
          <w:p>
            <w:pPr>
              <w:pStyle w:val="TableContents"/>
              <w:bidi w:val="0"/>
              <w:spacing w:before="0" w:after="283"/>
              <w:jc w:val="left"/>
              <w:rPr/>
            </w:pPr>
            <w:r>
              <w:rPr/>
              <w:t>Non-Life insurance business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(16,127</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(9,230</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(1,360</w:t>
            </w:r>
          </w:p>
        </w:tc>
        <w:tc>
          <w:tcPr>
            <w:tcW w:w="115" w:type="dxa"/>
            <w:tcBorders/>
            <w:shd w:fill="CCEEFF" w:val="clear"/>
            <w:vAlign w:val="center"/>
          </w:tcPr>
          <w:p>
            <w:pPr>
              <w:pStyle w:val="TableContents"/>
              <w:bidi w:val="0"/>
              <w:spacing w:before="0" w:after="283"/>
              <w:ind w:left="0" w:right="0" w:hanging="180"/>
              <w:jc w:val="left"/>
              <w:rPr/>
            </w:pPr>
            <w:r>
              <w:rPr/>
              <w:t>)</w:t>
            </w:r>
          </w:p>
        </w:tc>
      </w:tr>
      <w:tr>
        <w:trPr/>
        <w:tc>
          <w:tcPr>
            <w:tcW w:w="6557"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FFFFFF" w:val="clear"/>
            <w:tcMar>
              <w:bottom w:w="28" w:type="dxa"/>
            </w:tcMar>
            <w:vAlign w:val="center"/>
          </w:tcPr>
          <w:p>
            <w:pPr>
              <w:pStyle w:val="TableContents"/>
              <w:bidi w:val="0"/>
              <w:spacing w:before="0" w:after="283"/>
              <w:jc w:val="right"/>
              <w:rPr/>
            </w:pPr>
            <w:r>
              <w:rPr/>
              <w:t>(1,651</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FFFFFF" w:val="clear"/>
            <w:tcMar>
              <w:bottom w:w="28" w:type="dxa"/>
            </w:tcMar>
            <w:vAlign w:val="center"/>
          </w:tcPr>
          <w:p>
            <w:pPr>
              <w:pStyle w:val="TableContents"/>
              <w:bidi w:val="0"/>
              <w:spacing w:before="0" w:after="283"/>
              <w:jc w:val="right"/>
              <w:rPr/>
            </w:pPr>
            <w:r>
              <w:rPr/>
              <w:t>(243</w:t>
            </w:r>
          </w:p>
        </w:tc>
        <w:tc>
          <w:tcPr>
            <w:tcW w:w="115" w:type="dxa"/>
            <w:tcBorders/>
            <w:shd w:fill="FFFFFF" w:val="clear"/>
            <w:vAlign w:val="center"/>
          </w:tcPr>
          <w:p>
            <w:pPr>
              <w:pStyle w:val="TableContents"/>
              <w:bidi w:val="0"/>
              <w:spacing w:before="0" w:after="283"/>
              <w:ind w:left="0" w:right="0" w:hanging="180"/>
              <w:jc w:val="left"/>
              <w:rPr/>
            </w:pPr>
            <w:r>
              <w:rPr/>
              <w:t>)</w:t>
            </w:r>
          </w:p>
        </w:tc>
      </w:tr>
      <w:tr>
        <w:trPr/>
        <w:tc>
          <w:tcPr>
            <w:tcW w:w="6557" w:type="dxa"/>
            <w:tcBorders/>
            <w:shd w:fill="CCEEFF" w:val="clear"/>
            <w:vAlign w:val="center"/>
          </w:tcPr>
          <w:p>
            <w:pPr>
              <w:pStyle w:val="TableContents"/>
              <w:bidi w:val="0"/>
              <w:spacing w:before="0" w:after="283"/>
              <w:jc w:val="left"/>
              <w:rPr>
                <w:b/>
              </w:rPr>
            </w:pPr>
            <w:r>
              <w:rPr>
                <w:b/>
              </w:rPr>
              <w:t>Total operating costs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(142,567</w:t>
            </w:r>
          </w:p>
        </w:tc>
        <w:tc>
          <w:tcPr>
            <w:tcW w:w="99"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(98,597</w:t>
            </w:r>
          </w:p>
        </w:tc>
        <w:tc>
          <w:tcPr>
            <w:tcW w:w="99"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(14,531</w:t>
            </w:r>
          </w:p>
        </w:tc>
        <w:tc>
          <w:tcPr>
            <w:tcW w:w="115" w:type="dxa"/>
            <w:tcBorders/>
            <w:shd w:fill="CCEEFF" w:val="clear"/>
            <w:vAlign w:val="center"/>
          </w:tcPr>
          <w:p>
            <w:pPr>
              <w:pStyle w:val="TableContents"/>
              <w:bidi w:val="0"/>
              <w:spacing w:before="0" w:after="283"/>
              <w:ind w:left="0" w:right="0" w:hanging="180"/>
              <w:jc w:val="left"/>
              <w:rPr>
                <w:b/>
              </w:rPr>
            </w:pPr>
            <w:r>
              <w:rPr>
                <w:b/>
              </w:rPr>
              <w:t>)</w:t>
            </w:r>
          </w:p>
        </w:tc>
      </w:tr>
      <w:tr>
        <w:trPr/>
        <w:tc>
          <w:tcPr>
            <w:tcW w:w="6557" w:type="dxa"/>
            <w:tcBorders/>
            <w:shd w:fill="FFFFFF" w:val="clear"/>
            <w:vAlign w:val="center"/>
          </w:tcPr>
          <w:p>
            <w:pPr>
              <w:pStyle w:val="TableContents"/>
              <w:bidi w:val="0"/>
              <w:spacing w:before="0" w:after="283"/>
              <w:jc w:val="left"/>
              <w:rPr/>
            </w:pPr>
            <w:r>
              <w:rPr/>
              <w:t>Selling expenses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(23,171</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(24,926</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(3,674</w:t>
            </w:r>
          </w:p>
        </w:tc>
        <w:tc>
          <w:tcPr>
            <w:tcW w:w="115" w:type="dxa"/>
            <w:tcBorders/>
            <w:shd w:fill="FFFFFF" w:val="clear"/>
            <w:vAlign w:val="center"/>
          </w:tcPr>
          <w:p>
            <w:pPr>
              <w:pStyle w:val="TableContents"/>
              <w:bidi w:val="0"/>
              <w:spacing w:before="0" w:after="283"/>
              <w:ind w:left="0" w:right="0" w:hanging="180"/>
              <w:jc w:val="left"/>
              <w:rPr/>
            </w:pPr>
            <w:r>
              <w:rPr/>
              <w:t>)</w:t>
            </w:r>
          </w:p>
        </w:tc>
      </w:tr>
      <w:tr>
        <w:trPr/>
        <w:tc>
          <w:tcPr>
            <w:tcW w:w="6557"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(139,507</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(69,745</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(10,279</w:t>
            </w:r>
          </w:p>
        </w:tc>
        <w:tc>
          <w:tcPr>
            <w:tcW w:w="115" w:type="dxa"/>
            <w:tcBorders/>
            <w:shd w:fill="CCEEFF" w:val="clear"/>
            <w:vAlign w:val="center"/>
          </w:tcPr>
          <w:p>
            <w:pPr>
              <w:pStyle w:val="TableContents"/>
              <w:bidi w:val="0"/>
              <w:spacing w:before="0" w:after="283"/>
              <w:ind w:left="0" w:right="0" w:hanging="180"/>
              <w:jc w:val="left"/>
              <w:rPr/>
            </w:pPr>
            <w:r>
              <w:rPr/>
              <w:t>)</w:t>
            </w:r>
          </w:p>
        </w:tc>
      </w:tr>
      <w:tr>
        <w:trPr/>
        <w:tc>
          <w:tcPr>
            <w:tcW w:w="6557" w:type="dxa"/>
            <w:tcBorders/>
            <w:shd w:fill="FFFFFF" w:val="clear"/>
            <w:vAlign w:val="center"/>
          </w:tcPr>
          <w:p>
            <w:pPr>
              <w:pStyle w:val="TableContents"/>
              <w:bidi w:val="0"/>
              <w:spacing w:before="0" w:after="283"/>
              <w:jc w:val="left"/>
              <w:rPr>
                <w:b/>
              </w:rPr>
            </w:pPr>
            <w:r>
              <w:rPr>
                <w:b/>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(305,245</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(193,268</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(28,484</w:t>
            </w:r>
          </w:p>
        </w:tc>
        <w:tc>
          <w:tcPr>
            <w:tcW w:w="115" w:type="dxa"/>
            <w:tcBorders/>
            <w:shd w:fill="FFFFFF" w:val="clear"/>
            <w:vAlign w:val="center"/>
          </w:tcPr>
          <w:p>
            <w:pPr>
              <w:pStyle w:val="TableContents"/>
              <w:bidi w:val="0"/>
              <w:spacing w:before="0" w:after="283"/>
              <w:ind w:left="0" w:right="0" w:hanging="180"/>
              <w:jc w:val="left"/>
              <w:rPr>
                <w:b/>
              </w:rPr>
            </w:pPr>
            <w:r>
              <w:rPr>
                <w:b/>
              </w:rPr>
              <w:t>)</w:t>
            </w:r>
          </w:p>
        </w:tc>
      </w:tr>
      <w:tr>
        <w:trPr/>
        <w:tc>
          <w:tcPr>
            <w:tcW w:w="6557" w:type="dxa"/>
            <w:tcBorders/>
            <w:shd w:fill="CCEEFF" w:val="clear"/>
            <w:vAlign w:val="center"/>
          </w:tcPr>
          <w:p>
            <w:pPr>
              <w:pStyle w:val="TableContents"/>
              <w:bidi w:val="0"/>
              <w:spacing w:before="0" w:after="283"/>
              <w:jc w:val="left"/>
              <w:rPr>
                <w:b/>
              </w:rPr>
            </w:pPr>
            <w:r>
              <w:rPr>
                <w:b/>
              </w:rPr>
              <w:t>(Loss) Income from operations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b/>
              </w:rPr>
            </w:pPr>
            <w:r>
              <w:rPr>
                <w:b/>
              </w:rPr>
              <w:t>(7,798</w:t>
            </w:r>
          </w:p>
        </w:tc>
        <w:tc>
          <w:tcPr>
            <w:tcW w:w="99"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b/>
              </w:rPr>
            </w:pPr>
            <w:r>
              <w:rPr>
                <w:b/>
              </w:rPr>
              <w:t>32,912</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b/>
              </w:rPr>
            </w:pPr>
            <w:r>
              <w:rPr>
                <w:b/>
              </w:rPr>
              <w:t>4,850</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557" w:type="dxa"/>
            <w:tcBorders/>
            <w:shd w:fill="FFFFFF" w:val="clear"/>
            <w:vAlign w:val="center"/>
          </w:tcPr>
          <w:p>
            <w:pPr>
              <w:pStyle w:val="TableContents"/>
              <w:bidi w:val="0"/>
              <w:spacing w:before="0" w:after="283"/>
              <w:jc w:val="left"/>
              <w:rPr/>
            </w:pPr>
            <w:r>
              <w:rPr/>
              <w:t>Other (loss) income, net: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557" w:type="dxa"/>
            <w:tcBorders/>
            <w:shd w:fill="CCEEFF" w:val="clear"/>
            <w:vAlign w:val="center"/>
          </w:tcPr>
          <w:p>
            <w:pPr>
              <w:pStyle w:val="TableContents"/>
              <w:bidi w:val="0"/>
              <w:spacing w:before="0" w:after="283"/>
              <w:jc w:val="left"/>
              <w:rPr/>
            </w:pPr>
            <w:r>
              <w:rPr/>
              <w:t>Losses from fair value change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(17,960</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(1,112</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(164</w:t>
            </w:r>
          </w:p>
        </w:tc>
        <w:tc>
          <w:tcPr>
            <w:tcW w:w="115" w:type="dxa"/>
            <w:tcBorders/>
            <w:shd w:fill="CCEEFF" w:val="clear"/>
            <w:vAlign w:val="center"/>
          </w:tcPr>
          <w:p>
            <w:pPr>
              <w:pStyle w:val="TableContents"/>
              <w:bidi w:val="0"/>
              <w:spacing w:before="0" w:after="283"/>
              <w:ind w:left="0" w:right="0" w:hanging="180"/>
              <w:jc w:val="left"/>
              <w:rPr/>
            </w:pPr>
            <w:r>
              <w:rPr/>
              <w:t>)</w:t>
            </w:r>
          </w:p>
        </w:tc>
      </w:tr>
      <w:tr>
        <w:trPr/>
        <w:tc>
          <w:tcPr>
            <w:tcW w:w="6557" w:type="dxa"/>
            <w:tcBorders/>
            <w:shd w:fill="FFFFFF" w:val="clear"/>
            <w:vAlign w:val="center"/>
          </w:tcPr>
          <w:p>
            <w:pPr>
              <w:pStyle w:val="TableContents"/>
              <w:bidi w:val="0"/>
              <w:spacing w:before="0" w:after="283"/>
              <w:jc w:val="left"/>
              <w:rPr/>
            </w:pPr>
            <w:r>
              <w:rPr/>
              <w:t>Investment income (loss) related to the realized gain (loss) on short term investments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5,025</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(804</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(118</w:t>
            </w:r>
          </w:p>
        </w:tc>
        <w:tc>
          <w:tcPr>
            <w:tcW w:w="115" w:type="dxa"/>
            <w:tcBorders/>
            <w:shd w:fill="FFFFFF" w:val="clear"/>
            <w:vAlign w:val="center"/>
          </w:tcPr>
          <w:p>
            <w:pPr>
              <w:pStyle w:val="TableContents"/>
              <w:bidi w:val="0"/>
              <w:spacing w:before="0" w:after="283"/>
              <w:ind w:left="0" w:right="0" w:hanging="180"/>
              <w:jc w:val="left"/>
              <w:rPr/>
            </w:pPr>
            <w:r>
              <w:rPr/>
              <w:t>)</w:t>
            </w:r>
          </w:p>
        </w:tc>
      </w:tr>
      <w:tr>
        <w:trPr/>
        <w:tc>
          <w:tcPr>
            <w:tcW w:w="6557" w:type="dxa"/>
            <w:tcBorders/>
            <w:shd w:fill="CCEEFF" w:val="clear"/>
            <w:vAlign w:val="center"/>
          </w:tcPr>
          <w:p>
            <w:pPr>
              <w:pStyle w:val="TableContents"/>
              <w:bidi w:val="0"/>
              <w:spacing w:before="0" w:after="283"/>
              <w:jc w:val="left"/>
              <w:rPr/>
            </w:pPr>
            <w:r>
              <w:rPr/>
              <w:t>Gains from disposal of subsidiaries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6,313</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557"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16,621</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121</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18</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557" w:type="dxa"/>
            <w:tcBorders/>
            <w:shd w:fill="CCEEFF" w:val="clear"/>
            <w:vAlign w:val="center"/>
          </w:tcPr>
          <w:p>
            <w:pPr>
              <w:pStyle w:val="TableContents"/>
              <w:bidi w:val="0"/>
              <w:spacing w:before="0" w:after="283"/>
              <w:jc w:val="left"/>
              <w:rPr/>
            </w:pPr>
            <w:r>
              <w:rPr/>
              <w:t>Financial cost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(2,209</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(2,956</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(436</w:t>
            </w:r>
          </w:p>
        </w:tc>
        <w:tc>
          <w:tcPr>
            <w:tcW w:w="115" w:type="dxa"/>
            <w:tcBorders/>
            <w:shd w:fill="CCEEFF" w:val="clear"/>
            <w:vAlign w:val="center"/>
          </w:tcPr>
          <w:p>
            <w:pPr>
              <w:pStyle w:val="TableContents"/>
              <w:bidi w:val="0"/>
              <w:spacing w:before="0" w:after="283"/>
              <w:ind w:left="0" w:right="0" w:hanging="180"/>
              <w:jc w:val="left"/>
              <w:rPr/>
            </w:pPr>
            <w:r>
              <w:rPr/>
              <w:t>)</w:t>
            </w:r>
          </w:p>
        </w:tc>
      </w:tr>
      <w:tr>
        <w:trPr/>
        <w:tc>
          <w:tcPr>
            <w:tcW w:w="6557" w:type="dxa"/>
            <w:tcBorders/>
            <w:shd w:fill="FFFFFF" w:val="clear"/>
            <w:vAlign w:val="center"/>
          </w:tcPr>
          <w:p>
            <w:pPr>
              <w:pStyle w:val="TableContents"/>
              <w:bidi w:val="0"/>
              <w:spacing w:before="0" w:after="283"/>
              <w:jc w:val="left"/>
              <w:rPr/>
            </w:pPr>
            <w:r>
              <w:rPr/>
              <w:t>(Provision for) Reversal of credit losses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(487,583</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3,199</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472</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557" w:type="dxa"/>
            <w:tcBorders/>
            <w:shd w:fill="CCEEFF" w:val="clear"/>
            <w:vAlign w:val="center"/>
          </w:tcPr>
          <w:p>
            <w:pPr>
              <w:pStyle w:val="TableContents"/>
              <w:bidi w:val="0"/>
              <w:spacing w:before="0" w:after="283"/>
              <w:jc w:val="left"/>
              <w:rPr/>
            </w:pPr>
            <w:r>
              <w:rPr/>
              <w:t>Others, net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CCEEFF" w:val="clear"/>
            <w:tcMar>
              <w:bottom w:w="28" w:type="dxa"/>
            </w:tcMar>
            <w:vAlign w:val="center"/>
          </w:tcPr>
          <w:p>
            <w:pPr>
              <w:pStyle w:val="TableContents"/>
              <w:bidi w:val="0"/>
              <w:spacing w:before="0" w:after="283"/>
              <w:jc w:val="right"/>
              <w:rPr/>
            </w:pPr>
            <w:r>
              <w:rPr/>
              <w:t>22,646</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center"/>
          </w:tcPr>
          <w:p>
            <w:pPr>
              <w:pStyle w:val="TableContents"/>
              <w:bidi w:val="0"/>
              <w:spacing w:before="0" w:after="283"/>
              <w:jc w:val="right"/>
              <w:rPr/>
            </w:pPr>
            <w:r>
              <w:rPr/>
              <w:t>24,916</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center"/>
          </w:tcPr>
          <w:p>
            <w:pPr>
              <w:pStyle w:val="TableContents"/>
              <w:bidi w:val="0"/>
              <w:spacing w:before="0" w:after="283"/>
              <w:jc w:val="right"/>
              <w:rPr/>
            </w:pPr>
            <w:r>
              <w:rPr/>
              <w:t>3,672</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557" w:type="dxa"/>
            <w:tcBorders/>
            <w:shd w:fill="FFFFFF" w:val="clear"/>
            <w:vAlign w:val="center"/>
          </w:tcPr>
          <w:p>
            <w:pPr>
              <w:pStyle w:val="TableContents"/>
              <w:bidi w:val="0"/>
              <w:spacing w:before="0" w:after="283"/>
              <w:jc w:val="left"/>
              <w:rPr>
                <w:b/>
              </w:rPr>
            </w:pPr>
            <w:r>
              <w:rPr>
                <w:b/>
              </w:rPr>
              <w:t>(Loss) Income from continuing operations before income taxes and share income and impairment of affiliates, net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b/>
              </w:rPr>
            </w:pPr>
            <w:r>
              <w:rPr>
                <w:b/>
              </w:rPr>
              <w:t>(464,945</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b/>
              </w:rPr>
            </w:pPr>
            <w:r>
              <w:rPr>
                <w:b/>
              </w:rPr>
              <w:t>56,276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b/>
              </w:rPr>
            </w:pPr>
            <w:r>
              <w:rPr>
                <w:b/>
              </w:rPr>
              <w:t>8,294</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557"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(8,400</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(8,200</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(1,209</w:t>
            </w:r>
          </w:p>
        </w:tc>
        <w:tc>
          <w:tcPr>
            <w:tcW w:w="115" w:type="dxa"/>
            <w:tcBorders/>
            <w:shd w:fill="CCEEFF" w:val="clear"/>
            <w:vAlign w:val="center"/>
          </w:tcPr>
          <w:p>
            <w:pPr>
              <w:pStyle w:val="TableContents"/>
              <w:bidi w:val="0"/>
              <w:spacing w:before="0" w:after="283"/>
              <w:ind w:left="0" w:right="0" w:hanging="180"/>
              <w:jc w:val="left"/>
              <w:rPr/>
            </w:pPr>
            <w:r>
              <w:rPr/>
              <w:t>)</w:t>
            </w:r>
          </w:p>
        </w:tc>
      </w:tr>
      <w:tr>
        <w:trPr/>
        <w:tc>
          <w:tcPr>
            <w:tcW w:w="6557" w:type="dxa"/>
            <w:tcBorders/>
            <w:shd w:fill="FFFFFF" w:val="clear"/>
            <w:vAlign w:val="center"/>
          </w:tcPr>
          <w:p>
            <w:pPr>
              <w:pStyle w:val="TableContents"/>
              <w:bidi w:val="0"/>
              <w:spacing w:before="0" w:after="283"/>
              <w:jc w:val="left"/>
              <w:rPr>
                <w:b/>
              </w:rPr>
            </w:pPr>
            <w:r>
              <w:rPr>
                <w:b/>
              </w:rPr>
              <w:t>Net (loss) income from continuing operations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(473,345</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48,076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7,085</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557" w:type="dxa"/>
            <w:tcBorders/>
            <w:shd w:fill="CCEEFF" w:val="clear"/>
            <w:vAlign w:val="center"/>
          </w:tcPr>
          <w:p>
            <w:pPr>
              <w:pStyle w:val="TableContents"/>
              <w:bidi w:val="0"/>
              <w:spacing w:before="0" w:after="283"/>
              <w:jc w:val="left"/>
              <w:rPr>
                <w:b/>
              </w:rPr>
            </w:pPr>
            <w:r>
              <w:rPr>
                <w:b/>
              </w:rPr>
              <w:t>Net income from discontinued operations, net of tax</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3,230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557" w:type="dxa"/>
            <w:tcBorders/>
            <w:shd w:fill="FFFFFF" w:val="clear"/>
            <w:vAlign w:val="center"/>
          </w:tcPr>
          <w:p>
            <w:pPr>
              <w:pStyle w:val="TableContents"/>
              <w:bidi w:val="0"/>
              <w:spacing w:before="0" w:after="283"/>
              <w:jc w:val="left"/>
              <w:rPr>
                <w:b/>
              </w:rPr>
            </w:pPr>
            <w:r>
              <w:rPr>
                <w:b/>
              </w:rPr>
              <w:t>Net (loss) income</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1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(470,115</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48,076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7,085</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557" w:type="dxa"/>
            <w:tcBorders/>
            <w:shd w:fill="CCEEFF" w:val="clear"/>
            <w:vAlign w:val="center"/>
          </w:tcPr>
          <w:p>
            <w:pPr>
              <w:pStyle w:val="TableContents"/>
              <w:bidi w:val="0"/>
              <w:spacing w:before="0" w:after="283"/>
              <w:jc w:val="left"/>
              <w:rPr/>
            </w:pPr>
            <w:r>
              <w:rPr/>
              <w:t>Less: 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CCEEFF" w:val="clear"/>
            <w:tcMar>
              <w:bottom w:w="28" w:type="dxa"/>
            </w:tcMar>
            <w:vAlign w:val="center"/>
          </w:tcPr>
          <w:p>
            <w:pPr>
              <w:pStyle w:val="TableContents"/>
              <w:bidi w:val="0"/>
              <w:spacing w:before="0" w:after="283"/>
              <w:jc w:val="right"/>
              <w:rPr/>
            </w:pPr>
            <w:r>
              <w:rPr/>
              <w:t>(4,406</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center"/>
          </w:tcPr>
          <w:p>
            <w:pPr>
              <w:pStyle w:val="TableContents"/>
              <w:bidi w:val="0"/>
              <w:spacing w:before="0" w:after="283"/>
              <w:jc w:val="right"/>
              <w:rPr/>
            </w:pPr>
            <w:r>
              <w:rPr/>
              <w:t>(207</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center"/>
          </w:tcPr>
          <w:p>
            <w:pPr>
              <w:pStyle w:val="TableContents"/>
              <w:bidi w:val="0"/>
              <w:spacing w:before="0" w:after="283"/>
              <w:jc w:val="right"/>
              <w:rPr/>
            </w:pPr>
            <w:r>
              <w:rPr/>
              <w:t>(31</w:t>
            </w:r>
          </w:p>
        </w:tc>
        <w:tc>
          <w:tcPr>
            <w:tcW w:w="115" w:type="dxa"/>
            <w:tcBorders/>
            <w:shd w:fill="CCEEFF" w:val="clear"/>
            <w:vAlign w:val="center"/>
          </w:tcPr>
          <w:p>
            <w:pPr>
              <w:pStyle w:val="TableContents"/>
              <w:bidi w:val="0"/>
              <w:spacing w:before="0" w:after="283"/>
              <w:ind w:left="0" w:right="0" w:hanging="180"/>
              <w:jc w:val="left"/>
              <w:rPr/>
            </w:pPr>
            <w:r>
              <w:rPr/>
              <w:t>)</w:t>
            </w:r>
          </w:p>
        </w:tc>
      </w:tr>
      <w:tr>
        <w:trPr/>
        <w:tc>
          <w:tcPr>
            <w:tcW w:w="65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557" w:type="dxa"/>
            <w:tcBorders/>
            <w:shd w:fill="CCEEFF" w:val="clear"/>
            <w:vAlign w:val="center"/>
          </w:tcPr>
          <w:p>
            <w:pPr>
              <w:pStyle w:val="TableContents"/>
              <w:bidi w:val="0"/>
              <w:spacing w:before="0" w:after="283"/>
              <w:jc w:val="left"/>
              <w:rPr>
                <w:b/>
              </w:rPr>
            </w:pPr>
            <w:r>
              <w:rPr>
                <w:b/>
              </w:rPr>
              <w:t>Net (loss) income attributable to the Company’s shareholders</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(465,709</w:t>
            </w:r>
          </w:p>
        </w:tc>
        <w:tc>
          <w:tcPr>
            <w:tcW w:w="99"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48,283</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7,116</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557" w:type="dxa"/>
            <w:tcBorders/>
            <w:shd w:fill="FFFFFF" w:val="clear"/>
            <w:vAlign w:val="center"/>
          </w:tcPr>
          <w:p>
            <w:pPr>
              <w:pStyle w:val="TableContents"/>
              <w:bidi w:val="0"/>
              <w:spacing w:before="0" w:after="283"/>
              <w:jc w:val="left"/>
              <w:rPr/>
            </w:pPr>
            <w:r>
              <w:rPr/>
              <w:t>Continuing operations</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15" w:type="dxa"/>
            <w:tcBorders>
              <w:bottom w:val="double" w:sz="10" w:space="0" w:color="000000"/>
            </w:tcBorders>
            <w:shd w:fill="FFFFFF" w:val="clear"/>
            <w:tcMar>
              <w:bottom w:w="28" w:type="dxa"/>
            </w:tcMar>
            <w:vAlign w:val="center"/>
          </w:tcPr>
          <w:p>
            <w:pPr>
              <w:pStyle w:val="TableContents"/>
              <w:bidi w:val="0"/>
              <w:spacing w:before="0" w:after="283"/>
              <w:jc w:val="right"/>
              <w:rPr/>
            </w:pPr>
            <w:r>
              <w:rPr/>
              <w:t>(468,939</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double" w:sz="10" w:space="0" w:color="000000"/>
            </w:tcBorders>
            <w:shd w:fill="FFFFFF" w:val="clear"/>
            <w:tcMar>
              <w:bottom w:w="28" w:type="dxa"/>
            </w:tcMar>
            <w:vAlign w:val="center"/>
          </w:tcPr>
          <w:p>
            <w:pPr>
              <w:pStyle w:val="TableContents"/>
              <w:bidi w:val="0"/>
              <w:spacing w:before="0" w:after="283"/>
              <w:jc w:val="right"/>
              <w:rPr/>
            </w:pPr>
            <w:r>
              <w:rPr/>
              <w:t>48,283</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double" w:sz="10" w:space="0" w:color="000000"/>
            </w:tcBorders>
            <w:shd w:fill="FFFFFF" w:val="clear"/>
            <w:tcMar>
              <w:bottom w:w="28" w:type="dxa"/>
            </w:tcMar>
            <w:vAlign w:val="center"/>
          </w:tcPr>
          <w:p>
            <w:pPr>
              <w:pStyle w:val="TableContents"/>
              <w:bidi w:val="0"/>
              <w:spacing w:before="0" w:after="283"/>
              <w:jc w:val="right"/>
              <w:rPr/>
            </w:pPr>
            <w:r>
              <w:rPr/>
              <w:t>7,116</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557"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double" w:sz="10" w:space="0" w:color="000000"/>
            </w:tcBorders>
            <w:shd w:fill="CCEEFF" w:val="clear"/>
            <w:tcMar>
              <w:bottom w:w="28" w:type="dxa"/>
            </w:tcMar>
            <w:vAlign w:val="center"/>
          </w:tcPr>
          <w:p>
            <w:pPr>
              <w:pStyle w:val="TableContents"/>
              <w:bidi w:val="0"/>
              <w:spacing w:before="0" w:after="283"/>
              <w:jc w:val="right"/>
              <w:rPr/>
            </w:pPr>
            <w:r>
              <w:rPr/>
              <w:t>3,230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557" w:type="dxa"/>
            <w:tcBorders/>
            <w:shd w:fill="FFFFFF" w:val="clear"/>
            <w:vAlign w:val="center"/>
          </w:tcPr>
          <w:p>
            <w:pPr>
              <w:pStyle w:val="TableContents"/>
              <w:bidi w:val="0"/>
              <w:spacing w:before="0" w:after="283"/>
              <w:jc w:val="left"/>
              <w:rPr>
                <w:b/>
              </w:rPr>
            </w:pPr>
            <w:r>
              <w:rPr>
                <w:b/>
              </w:rPr>
              <w:t>Net (loss) income per share attributable to the Company’s shareholders - basic and diluted*:</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b/>
              </w:rPr>
            </w:pPr>
            <w:r>
              <w:rPr>
                <w:b/>
              </w:rPr>
              <w:t>(1,696.4</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b/>
              </w:rPr>
            </w:pPr>
            <w:r>
              <w:rPr>
                <w:b/>
              </w:rPr>
              <w:t>8.2</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b/>
              </w:rPr>
            </w:pPr>
            <w:r>
              <w:rPr>
                <w:b/>
              </w:rPr>
              <w:t>1.2</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557"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(1,708.2</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8.2</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1.2</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557"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11.8</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557" w:type="dxa"/>
            <w:tcBorders/>
            <w:shd w:fill="CCEEFF" w:val="clear"/>
            <w:vAlign w:val="center"/>
          </w:tcPr>
          <w:p>
            <w:pPr>
              <w:pStyle w:val="TableContents"/>
              <w:bidi w:val="0"/>
              <w:spacing w:before="0" w:after="283"/>
              <w:jc w:val="left"/>
              <w:rPr>
                <w:b/>
              </w:rPr>
            </w:pPr>
            <w:r>
              <w:rPr>
                <w:b/>
              </w:rPr>
              <w:t>Shares used in calculating net income per share — basic and Diluted*:</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b/>
              </w:rPr>
            </w:pPr>
            <w:r>
              <w:rPr>
                <w:b/>
              </w:rPr>
              <w:t>274,525</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b/>
              </w:rPr>
            </w:pPr>
            <w:r>
              <w:rPr>
                <w:b/>
              </w:rPr>
              <w:t>5,920,686</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b/>
              </w:rPr>
            </w:pPr>
            <w:r>
              <w:rPr>
                <w:b/>
              </w:rPr>
              <w:t>5,920,686</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557" w:type="dxa"/>
            <w:tcBorders/>
            <w:shd w:fill="FFFFFF" w:val="clear"/>
            <w:vAlign w:val="center"/>
          </w:tcPr>
          <w:p>
            <w:pPr>
              <w:pStyle w:val="TableContents"/>
              <w:bidi w:val="0"/>
              <w:spacing w:before="0" w:after="283"/>
              <w:jc w:val="left"/>
              <w:rPr>
                <w:b/>
              </w:rPr>
            </w:pPr>
            <w:r>
              <w:rPr>
                <w:b/>
              </w:rPr>
              <w:t>Net (loss) income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b/>
              </w:rPr>
            </w:pPr>
            <w:r>
              <w:rPr>
                <w:b/>
              </w:rPr>
              <w:t>(470,115</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b/>
              </w:rPr>
            </w:pPr>
            <w:r>
              <w:rPr>
                <w:b/>
              </w:rPr>
              <w:t>48,076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b/>
              </w:rPr>
            </w:pPr>
            <w:r>
              <w:rPr>
                <w:b/>
              </w:rPr>
              <w:t>7,085</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557" w:type="dxa"/>
            <w:tcBorders/>
            <w:shd w:fill="CCEEFF" w:val="clear"/>
            <w:vAlign w:val="center"/>
          </w:tcPr>
          <w:p>
            <w:pPr>
              <w:pStyle w:val="TableContents"/>
              <w:bidi w:val="0"/>
              <w:spacing w:before="0" w:after="283"/>
              <w:jc w:val="both"/>
              <w:rPr/>
            </w:pPr>
            <w:r>
              <w:rPr/>
              <w:t>Other comprehensive loss, net of tax:</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557"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(471</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(2,996</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(442</w:t>
            </w:r>
          </w:p>
        </w:tc>
        <w:tc>
          <w:tcPr>
            <w:tcW w:w="115" w:type="dxa"/>
            <w:tcBorders/>
            <w:shd w:fill="FFFFFF" w:val="clear"/>
            <w:vAlign w:val="center"/>
          </w:tcPr>
          <w:p>
            <w:pPr>
              <w:pStyle w:val="TableContents"/>
              <w:bidi w:val="0"/>
              <w:spacing w:before="0" w:after="283"/>
              <w:ind w:left="0" w:right="0" w:hanging="180"/>
              <w:jc w:val="left"/>
              <w:rPr/>
            </w:pPr>
            <w:r>
              <w:rPr/>
              <w:t>)</w:t>
            </w:r>
          </w:p>
        </w:tc>
      </w:tr>
      <w:tr>
        <w:trPr/>
        <w:tc>
          <w:tcPr>
            <w:tcW w:w="6557" w:type="dxa"/>
            <w:tcBorders/>
            <w:shd w:fill="CCEEFF" w:val="clear"/>
            <w:vAlign w:val="center"/>
          </w:tcPr>
          <w:p>
            <w:pPr>
              <w:pStyle w:val="TableContents"/>
              <w:bidi w:val="0"/>
              <w:spacing w:before="0" w:after="283"/>
              <w:jc w:val="left"/>
              <w:rPr/>
            </w:pPr>
            <w:r>
              <w:rPr/>
              <w:t>Unrealized net losses on investments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(11,418</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(195,603</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(28,828</w:t>
            </w:r>
          </w:p>
        </w:tc>
        <w:tc>
          <w:tcPr>
            <w:tcW w:w="115" w:type="dxa"/>
            <w:tcBorders/>
            <w:shd w:fill="CCEEFF" w:val="clear"/>
            <w:vAlign w:val="center"/>
          </w:tcPr>
          <w:p>
            <w:pPr>
              <w:pStyle w:val="TableContents"/>
              <w:bidi w:val="0"/>
              <w:spacing w:before="0" w:after="283"/>
              <w:ind w:left="0" w:right="0" w:hanging="180"/>
              <w:jc w:val="left"/>
              <w:rPr/>
            </w:pPr>
            <w:r>
              <w:rPr/>
              <w:t>)</w:t>
            </w:r>
          </w:p>
        </w:tc>
      </w:tr>
      <w:tr>
        <w:trPr/>
        <w:tc>
          <w:tcPr>
            <w:tcW w:w="6557"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b/>
              </w:rPr>
            </w:pPr>
            <w:r>
              <w:rPr>
                <w:b/>
              </w:rPr>
              <w:t>(482,004</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b/>
              </w:rPr>
            </w:pPr>
            <w:r>
              <w:rPr>
                <w:b/>
              </w:rPr>
              <w:t>(150,523</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b/>
              </w:rPr>
            </w:pPr>
            <w:r>
              <w:rPr>
                <w:b/>
              </w:rPr>
              <w:t>(22,185</w:t>
            </w:r>
          </w:p>
        </w:tc>
        <w:tc>
          <w:tcPr>
            <w:tcW w:w="115" w:type="dxa"/>
            <w:tcBorders/>
            <w:shd w:fill="FFFFFF" w:val="clear"/>
            <w:vAlign w:val="center"/>
          </w:tcPr>
          <w:p>
            <w:pPr>
              <w:pStyle w:val="TableContents"/>
              <w:bidi w:val="0"/>
              <w:spacing w:before="0" w:after="283"/>
              <w:ind w:left="0" w:right="0" w:hanging="180"/>
              <w:jc w:val="left"/>
              <w:rPr>
                <w:b/>
              </w:rPr>
            </w:pPr>
            <w:r>
              <w:rPr>
                <w:b/>
              </w:rPr>
              <w:t>)</w:t>
            </w:r>
          </w:p>
        </w:tc>
      </w:tr>
      <w:tr>
        <w:trPr/>
        <w:tc>
          <w:tcPr>
            <w:tcW w:w="6557" w:type="dxa"/>
            <w:tcBorders/>
            <w:shd w:fill="CCEEFF" w:val="clear"/>
            <w:vAlign w:val="center"/>
          </w:tcPr>
          <w:p>
            <w:pPr>
              <w:pStyle w:val="TableContents"/>
              <w:bidi w:val="0"/>
              <w:spacing w:before="0" w:after="283"/>
              <w:jc w:val="left"/>
              <w:rPr/>
            </w:pPr>
            <w:r>
              <w:rPr/>
              <w:t>Less: Comprehensive loss attributable to the non-controlling interests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(4,406</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(207</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(31</w:t>
            </w:r>
          </w:p>
        </w:tc>
        <w:tc>
          <w:tcPr>
            <w:tcW w:w="115" w:type="dxa"/>
            <w:tcBorders/>
            <w:shd w:fill="CCEEFF" w:val="clear"/>
            <w:vAlign w:val="center"/>
          </w:tcPr>
          <w:p>
            <w:pPr>
              <w:pStyle w:val="TableContents"/>
              <w:bidi w:val="0"/>
              <w:spacing w:before="0" w:after="283"/>
              <w:ind w:left="0" w:right="0" w:hanging="180"/>
              <w:jc w:val="left"/>
              <w:rPr/>
            </w:pPr>
            <w:r>
              <w:rPr/>
              <w:t>)</w:t>
            </w:r>
          </w:p>
        </w:tc>
      </w:tr>
      <w:tr>
        <w:trPr/>
        <w:tc>
          <w:tcPr>
            <w:tcW w:w="6557" w:type="dxa"/>
            <w:tcBorders/>
            <w:shd w:fill="FFFFFF" w:val="clear"/>
            <w:vAlign w:val="center"/>
          </w:tcPr>
          <w:p>
            <w:pPr>
              <w:pStyle w:val="TableContents"/>
              <w:bidi w:val="0"/>
              <w:spacing w:before="0" w:after="283"/>
              <w:jc w:val="left"/>
              <w:rPr>
                <w:b/>
              </w:rPr>
            </w:pPr>
            <w:r>
              <w:rPr>
                <w:b/>
              </w:rPr>
              <w:t>Comprehensive loss attributable to the Company’s shareholders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b/>
              </w:rPr>
            </w:pPr>
            <w:r>
              <w:rPr>
                <w:b/>
              </w:rPr>
              <w:t>(477,598</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b/>
              </w:rPr>
            </w:pPr>
            <w:r>
              <w:rPr>
                <w:b/>
              </w:rPr>
              <w:t>(150,316</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b/>
              </w:rPr>
            </w:pPr>
            <w:r>
              <w:rPr>
                <w:b/>
              </w:rPr>
              <w:t>(22,154</w:t>
            </w:r>
          </w:p>
        </w:tc>
        <w:tc>
          <w:tcPr>
            <w:tcW w:w="11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140"/>
        <w:gridCol w:w="6470"/>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Retrospectively restated for the 1-for-20 reverse split effected on June 16,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AIFU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64"/>
        <w:gridCol w:w="60"/>
        <w:gridCol w:w="60"/>
        <w:gridCol w:w="891"/>
        <w:gridCol w:w="96"/>
        <w:gridCol w:w="60"/>
        <w:gridCol w:w="60"/>
        <w:gridCol w:w="769"/>
        <w:gridCol w:w="96"/>
        <w:gridCol w:w="60"/>
        <w:gridCol w:w="75"/>
        <w:gridCol w:w="807"/>
        <w:gridCol w:w="107"/>
      </w:tblGrid>
      <w:tr>
        <w:trPr/>
        <w:tc>
          <w:tcPr>
            <w:tcW w:w="706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97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07" w:type="dxa"/>
            <w:tcBorders/>
            <w:vAlign w:val="center"/>
          </w:tcPr>
          <w:p>
            <w:pPr>
              <w:pStyle w:val="TableContents"/>
              <w:bidi w:val="0"/>
              <w:spacing w:before="0" w:after="283"/>
              <w:ind w:left="0" w:right="0" w:hanging="180"/>
              <w:jc w:val="left"/>
              <w:rPr/>
            </w:pPr>
            <w:r>
              <w:rPr/>
              <w:t> </w:t>
            </w:r>
          </w:p>
        </w:tc>
      </w:tr>
      <w:tr>
        <w:trPr/>
        <w:tc>
          <w:tcPr>
            <w:tcW w:w="70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ind w:left="0" w:right="0" w:hanging="180"/>
              <w:jc w:val="left"/>
              <w:rPr/>
            </w:pPr>
            <w:r>
              <w:rPr/>
              <w:t> </w:t>
            </w:r>
          </w:p>
        </w:tc>
      </w:tr>
      <w:tr>
        <w:trPr/>
        <w:tc>
          <w:tcPr>
            <w:tcW w:w="70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51" w:type="dxa"/>
            <w:gridSpan w:val="2"/>
            <w:tcBorders/>
            <w:vAlign w:val="center"/>
          </w:tcPr>
          <w:p>
            <w:pPr>
              <w:pStyle w:val="TableContents"/>
              <w:bidi w:val="0"/>
              <w:spacing w:before="0" w:after="283"/>
              <w:jc w:val="center"/>
              <w:rPr>
                <w:b/>
              </w:rPr>
            </w:pPr>
            <w:r>
              <w:rPr>
                <w:b/>
              </w:rPr>
              <w:t>RMB</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 w:type="dxa"/>
            <w:gridSpan w:val="2"/>
            <w:tcBorders/>
            <w:vAlign w:val="center"/>
          </w:tcPr>
          <w:p>
            <w:pPr>
              <w:pStyle w:val="TableContents"/>
              <w:bidi w:val="0"/>
              <w:spacing w:before="0" w:after="283"/>
              <w:jc w:val="center"/>
              <w:rPr>
                <w:b/>
              </w:rPr>
            </w:pPr>
            <w:r>
              <w:rPr>
                <w:b/>
              </w:rPr>
              <w:t>RMB</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 w:type="dxa"/>
            <w:gridSpan w:val="2"/>
            <w:tcBorders/>
            <w:vAlign w:val="center"/>
          </w:tcPr>
          <w:p>
            <w:pPr>
              <w:pStyle w:val="TableContents"/>
              <w:bidi w:val="0"/>
              <w:spacing w:before="0" w:after="283"/>
              <w:jc w:val="center"/>
              <w:rPr>
                <w:b/>
              </w:rPr>
            </w:pPr>
            <w:r>
              <w:rPr>
                <w:b/>
              </w:rPr>
              <w:t>US$</w:t>
            </w:r>
          </w:p>
        </w:tc>
        <w:tc>
          <w:tcPr>
            <w:tcW w:w="107" w:type="dxa"/>
            <w:tcBorders/>
            <w:vAlign w:val="center"/>
          </w:tcPr>
          <w:p>
            <w:pPr>
              <w:pStyle w:val="TableContents"/>
              <w:bidi w:val="0"/>
              <w:spacing w:before="0" w:after="283"/>
              <w:ind w:left="0" w:right="0" w:hanging="180"/>
              <w:jc w:val="left"/>
              <w:rPr/>
            </w:pPr>
            <w:r>
              <w:rPr/>
              <w:t> </w:t>
            </w:r>
          </w:p>
        </w:tc>
      </w:tr>
      <w:tr>
        <w:trPr/>
        <w:tc>
          <w:tcPr>
            <w:tcW w:w="70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51" w:type="dxa"/>
            <w:gridSpan w:val="2"/>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 w:type="dxa"/>
            <w:gridSpan w:val="2"/>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 w:type="dxa"/>
            <w:gridSpan w:val="2"/>
            <w:tcBorders/>
            <w:vAlign w:val="center"/>
          </w:tcPr>
          <w:p>
            <w:pPr>
              <w:pStyle w:val="TableContents"/>
              <w:bidi w:val="0"/>
              <w:spacing w:before="0" w:after="283"/>
              <w:jc w:val="center"/>
              <w:rPr>
                <w:b/>
              </w:rPr>
            </w:pPr>
            <w:r>
              <w:rPr>
                <w:b/>
              </w:rPr>
              <w:t>Note 2(v)</w:t>
            </w:r>
          </w:p>
        </w:tc>
        <w:tc>
          <w:tcPr>
            <w:tcW w:w="107" w:type="dxa"/>
            <w:tcBorders/>
            <w:vAlign w:val="center"/>
          </w:tcPr>
          <w:p>
            <w:pPr>
              <w:pStyle w:val="TableContents"/>
              <w:bidi w:val="0"/>
              <w:spacing w:before="0" w:after="283"/>
              <w:ind w:left="0" w:right="0" w:hanging="180"/>
              <w:jc w:val="left"/>
              <w:rPr/>
            </w:pPr>
            <w:r>
              <w:rPr/>
              <w:t> </w:t>
            </w:r>
          </w:p>
        </w:tc>
      </w:tr>
      <w:tr>
        <w:trPr/>
        <w:tc>
          <w:tcPr>
            <w:tcW w:w="7064"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951"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 w:type="dxa"/>
            <w:gridSpan w:val="2"/>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ind w:left="0" w:right="0" w:hanging="180"/>
              <w:jc w:val="left"/>
              <w:rPr/>
            </w:pPr>
            <w:r>
              <w:rPr/>
              <w:t> </w:t>
            </w:r>
          </w:p>
        </w:tc>
      </w:tr>
      <w:tr>
        <w:trPr/>
        <w:tc>
          <w:tcPr>
            <w:tcW w:w="7064" w:type="dxa"/>
            <w:tcBorders/>
            <w:shd w:fill="CCEEFF" w:val="clear"/>
            <w:vAlign w:val="center"/>
          </w:tcPr>
          <w:p>
            <w:pPr>
              <w:pStyle w:val="TableContents"/>
              <w:bidi w:val="0"/>
              <w:spacing w:before="0" w:after="283"/>
              <w:jc w:val="left"/>
              <w:rPr>
                <w:b/>
              </w:rPr>
            </w:pPr>
            <w:r>
              <w:rPr>
                <w:b/>
              </w:rPr>
              <w:t>Net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(470,115</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48,076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7,085</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064" w:type="dxa"/>
            <w:tcBorders/>
            <w:shd w:fill="FFFFFF" w:val="clear"/>
            <w:vAlign w:val="center"/>
          </w:tcPr>
          <w:p>
            <w:pPr>
              <w:pStyle w:val="TableContents"/>
              <w:bidi w:val="0"/>
              <w:spacing w:before="0" w:after="283"/>
              <w:jc w:val="left"/>
              <w:rPr>
                <w:b/>
              </w:rPr>
            </w:pPr>
            <w:r>
              <w:rPr>
                <w:b/>
              </w:rPr>
              <w:t>Adjustments to reconcile net (loss) income to net cash generated from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064"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2,433</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2,635</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388</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064" w:type="dxa"/>
            <w:tcBorders/>
            <w:shd w:fill="FFFFFF" w:val="clear"/>
            <w:vAlign w:val="center"/>
          </w:tcPr>
          <w:p>
            <w:pPr>
              <w:pStyle w:val="TableContents"/>
              <w:bidi w:val="0"/>
              <w:spacing w:before="0" w:after="283"/>
              <w:jc w:val="left"/>
              <w:rPr/>
            </w:pPr>
            <w:r>
              <w:rPr/>
              <w:t>Non-cash operating lease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17,701</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7,824</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1,153</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064" w:type="dxa"/>
            <w:tcBorders/>
            <w:shd w:fill="CCEEFF" w:val="clear"/>
            <w:vAlign w:val="center"/>
          </w:tcPr>
          <w:p>
            <w:pPr>
              <w:pStyle w:val="TableContents"/>
              <w:bidi w:val="0"/>
              <w:spacing w:before="0" w:after="283"/>
              <w:jc w:val="left"/>
              <w:rPr/>
            </w:pPr>
            <w:r>
              <w:rPr/>
              <w:t>Loss on termination of operating lease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331</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064" w:type="dxa"/>
            <w:tcBorders/>
            <w:shd w:fill="FFFFFF" w:val="clear"/>
            <w:vAlign w:val="center"/>
          </w:tcPr>
          <w:p>
            <w:pPr>
              <w:pStyle w:val="TableContents"/>
              <w:bidi w:val="0"/>
              <w:spacing w:before="0" w:after="283"/>
              <w:jc w:val="left"/>
              <w:rPr/>
            </w:pPr>
            <w:r>
              <w:rPr/>
              <w:t>Allowance for (Reversal of) credit losses on financial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486,734</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(4,153</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(611</w:t>
            </w:r>
          </w:p>
        </w:tc>
        <w:tc>
          <w:tcPr>
            <w:tcW w:w="107" w:type="dxa"/>
            <w:tcBorders/>
            <w:shd w:fill="FFFFFF" w:val="clear"/>
            <w:vAlign w:val="center"/>
          </w:tcPr>
          <w:p>
            <w:pPr>
              <w:pStyle w:val="TableContents"/>
              <w:bidi w:val="0"/>
              <w:spacing w:before="0" w:after="283"/>
              <w:ind w:left="0" w:right="0" w:hanging="180"/>
              <w:jc w:val="left"/>
              <w:rPr/>
            </w:pPr>
            <w:r>
              <w:rPr/>
              <w:t>)</w:t>
            </w:r>
          </w:p>
        </w:tc>
      </w:tr>
      <w:tr>
        <w:trPr/>
        <w:tc>
          <w:tcPr>
            <w:tcW w:w="7064" w:type="dxa"/>
            <w:tcBorders/>
            <w:shd w:fill="CCEEFF" w:val="clear"/>
            <w:vAlign w:val="center"/>
          </w:tcPr>
          <w:p>
            <w:pPr>
              <w:pStyle w:val="TableContents"/>
              <w:bidi w:val="0"/>
              <w:spacing w:before="0" w:after="283"/>
              <w:jc w:val="left"/>
              <w:rPr/>
            </w:pPr>
            <w:r>
              <w:rPr/>
              <w:t>Share-based compensation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15,823</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064" w:type="dxa"/>
            <w:tcBorders/>
            <w:shd w:fill="FFFFFF" w:val="clear"/>
            <w:vAlign w:val="center"/>
          </w:tcPr>
          <w:p>
            <w:pPr>
              <w:pStyle w:val="TableContents"/>
              <w:bidi w:val="0"/>
              <w:spacing w:before="0" w:after="283"/>
              <w:jc w:val="left"/>
              <w:rPr/>
            </w:pPr>
            <w:r>
              <w:rPr/>
              <w:t>(</w:t>
            </w:r>
            <w:r>
              <w:rPr>
                <w:rFonts w:ascii="Times New Roman;Times;Serif" w:hAnsi="Times New Roman;Times;Serif"/>
                <w:sz w:val="20"/>
              </w:rPr>
              <w:t xml:space="preserve">Gain) </w:t>
            </w:r>
            <w:r>
              <w:rPr/>
              <w:t>Loss on disposal of property, plant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(1,196</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127</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19</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064" w:type="dxa"/>
            <w:tcBorders/>
            <w:shd w:fill="CCEEFF" w:val="clear"/>
            <w:vAlign w:val="center"/>
          </w:tcPr>
          <w:p>
            <w:pPr>
              <w:pStyle w:val="TableContents"/>
              <w:bidi w:val="0"/>
              <w:spacing w:before="0" w:after="283"/>
              <w:jc w:val="left"/>
              <w:rPr/>
            </w:pPr>
            <w:r>
              <w:rPr/>
              <w:t>Change in fair value of equity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24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4</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064" w:type="dxa"/>
            <w:tcBorders/>
            <w:shd w:fill="FFFFFF" w:val="clear"/>
            <w:vAlign w:val="center"/>
          </w:tcPr>
          <w:p>
            <w:pPr>
              <w:pStyle w:val="TableContents"/>
              <w:bidi w:val="0"/>
              <w:spacing w:before="0" w:after="283"/>
              <w:jc w:val="left"/>
              <w:rPr/>
            </w:pPr>
            <w:r>
              <w:rPr/>
              <w:t>Investment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(5,025</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805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119</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064" w:type="dxa"/>
            <w:tcBorders/>
            <w:shd w:fill="CCEEFF" w:val="clear"/>
            <w:vAlign w:val="center"/>
          </w:tcPr>
          <w:p>
            <w:pPr>
              <w:pStyle w:val="TableContents"/>
              <w:bidi w:val="0"/>
              <w:spacing w:before="0" w:after="283"/>
              <w:jc w:val="left"/>
              <w:rPr/>
            </w:pPr>
            <w:r>
              <w:rPr/>
              <w:t>Net gain on disposal of subsidiaries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(9,543</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064" w:type="dxa"/>
            <w:tcBorders/>
            <w:shd w:fill="FFFFFF" w:val="clear"/>
            <w:vAlign w:val="center"/>
          </w:tcPr>
          <w:p>
            <w:pPr>
              <w:pStyle w:val="TableContents"/>
              <w:bidi w:val="0"/>
              <w:spacing w:before="0" w:after="283"/>
              <w:jc w:val="left"/>
              <w:rPr/>
            </w:pPr>
            <w:r>
              <w:rPr/>
              <w:t>Loss on disposal of investment in an associate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4,330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064" w:type="dxa"/>
            <w:tcBorders/>
            <w:shd w:fill="CCEEFF" w:val="clear"/>
            <w:vAlign w:val="center"/>
          </w:tcPr>
          <w:p>
            <w:pPr>
              <w:pStyle w:val="TableContents"/>
              <w:bidi w:val="0"/>
              <w:spacing w:before="0" w:after="283"/>
              <w:jc w:val="left"/>
              <w:rPr/>
            </w:pPr>
            <w:r>
              <w:rPr/>
              <w:t>Deferred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(6,476</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(10,086</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(1,486</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7064" w:type="dxa"/>
            <w:tcBorders/>
            <w:shd w:fill="FFFFFF" w:val="clear"/>
            <w:vAlign w:val="center"/>
          </w:tcPr>
          <w:p>
            <w:pPr>
              <w:pStyle w:val="TableContents"/>
              <w:bidi w:val="0"/>
              <w:spacing w:before="0" w:after="283"/>
              <w:jc w:val="left"/>
              <w:rPr/>
            </w:pPr>
            <w:r>
              <w:rPr/>
              <w:t>Interest accrued for other receivables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(17,503</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064" w:type="dxa"/>
            <w:tcBorders/>
            <w:shd w:fill="CCEEFF" w:val="clear"/>
            <w:vAlign w:val="center"/>
          </w:tcPr>
          <w:p>
            <w:pPr>
              <w:pStyle w:val="TableContents"/>
              <w:bidi w:val="0"/>
              <w:spacing w:before="0" w:after="283"/>
              <w:jc w:val="left"/>
              <w:rPr>
                <w:b/>
              </w:rPr>
            </w:pPr>
            <w:r>
              <w:rPr>
                <w:b/>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064"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13,040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(6,267</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(924</w:t>
            </w:r>
          </w:p>
        </w:tc>
        <w:tc>
          <w:tcPr>
            <w:tcW w:w="107" w:type="dxa"/>
            <w:tcBorders/>
            <w:shd w:fill="FFFFFF" w:val="clear"/>
            <w:vAlign w:val="center"/>
          </w:tcPr>
          <w:p>
            <w:pPr>
              <w:pStyle w:val="TableContents"/>
              <w:bidi w:val="0"/>
              <w:spacing w:before="0" w:after="283"/>
              <w:ind w:left="0" w:right="0" w:hanging="180"/>
              <w:jc w:val="left"/>
              <w:rPr/>
            </w:pPr>
            <w:r>
              <w:rPr/>
              <w:t>)</w:t>
            </w:r>
          </w:p>
        </w:tc>
      </w:tr>
      <w:tr>
        <w:trPr/>
        <w:tc>
          <w:tcPr>
            <w:tcW w:w="7064" w:type="dxa"/>
            <w:tcBorders/>
            <w:shd w:fill="CCEEFF" w:val="clear"/>
            <w:vAlign w:val="center"/>
          </w:tcPr>
          <w:p>
            <w:pPr>
              <w:pStyle w:val="TableContents"/>
              <w:bidi w:val="0"/>
              <w:spacing w:before="0" w:after="283"/>
              <w:jc w:val="left"/>
              <w:rPr/>
            </w:pPr>
            <w:r>
              <w:rPr/>
              <w:t>Contract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132,264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67,816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9,995</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064"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(113,270</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(6,288</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(927</w:t>
            </w:r>
          </w:p>
        </w:tc>
        <w:tc>
          <w:tcPr>
            <w:tcW w:w="107" w:type="dxa"/>
            <w:tcBorders/>
            <w:shd w:fill="FFFFFF" w:val="clear"/>
            <w:vAlign w:val="center"/>
          </w:tcPr>
          <w:p>
            <w:pPr>
              <w:pStyle w:val="TableContents"/>
              <w:bidi w:val="0"/>
              <w:spacing w:before="0" w:after="283"/>
              <w:ind w:left="0" w:right="0" w:hanging="180"/>
              <w:jc w:val="left"/>
              <w:rPr/>
            </w:pPr>
            <w:r>
              <w:rPr/>
              <w:t>)</w:t>
            </w:r>
          </w:p>
        </w:tc>
      </w:tr>
      <w:tr>
        <w:trPr/>
        <w:tc>
          <w:tcPr>
            <w:tcW w:w="7064"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221,672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3,658</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538</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064"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(187,284</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225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33</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064"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(26,915</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(36,479</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(5,377</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7064" w:type="dxa"/>
            <w:tcBorders/>
            <w:shd w:fill="FFFFFF" w:val="clear"/>
            <w:vAlign w:val="center"/>
          </w:tcPr>
          <w:p>
            <w:pPr>
              <w:pStyle w:val="TableContents"/>
              <w:bidi w:val="0"/>
              <w:spacing w:before="0" w:after="283"/>
              <w:jc w:val="left"/>
              <w:rPr/>
            </w:pPr>
            <w:r>
              <w:rPr/>
              <w:t>Accrued commissions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(48,060</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(13,307</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(1,961</w:t>
            </w:r>
          </w:p>
        </w:tc>
        <w:tc>
          <w:tcPr>
            <w:tcW w:w="107" w:type="dxa"/>
            <w:tcBorders/>
            <w:shd w:fill="FFFFFF" w:val="clear"/>
            <w:vAlign w:val="center"/>
          </w:tcPr>
          <w:p>
            <w:pPr>
              <w:pStyle w:val="TableContents"/>
              <w:bidi w:val="0"/>
              <w:spacing w:before="0" w:after="283"/>
              <w:ind w:left="0" w:right="0" w:hanging="180"/>
              <w:jc w:val="left"/>
              <w:rPr/>
            </w:pPr>
            <w:r>
              <w:rPr/>
              <w:t>)</w:t>
            </w:r>
          </w:p>
        </w:tc>
      </w:tr>
      <w:tr>
        <w:trPr/>
        <w:tc>
          <w:tcPr>
            <w:tcW w:w="7064" w:type="dxa"/>
            <w:tcBorders/>
            <w:shd w:fill="CCEEFF" w:val="clear"/>
            <w:vAlign w:val="center"/>
          </w:tcPr>
          <w:p>
            <w:pPr>
              <w:pStyle w:val="TableContents"/>
              <w:bidi w:val="0"/>
              <w:spacing w:before="0" w:after="283"/>
              <w:jc w:val="left"/>
              <w:rPr/>
            </w:pPr>
            <w:r>
              <w:rPr/>
              <w:t>Insurance premium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(278</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064" w:type="dxa"/>
            <w:tcBorders/>
            <w:shd w:fill="FFFFFF" w:val="clear"/>
            <w:vAlign w:val="center"/>
          </w:tcPr>
          <w:p>
            <w:pPr>
              <w:pStyle w:val="TableContents"/>
              <w:bidi w:val="0"/>
              <w:spacing w:before="0" w:after="283"/>
              <w:jc w:val="left"/>
              <w:rPr/>
            </w:pPr>
            <w:r>
              <w:rPr/>
              <w:t>Other payables and accrued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38,907</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(45,836</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(6,756</w:t>
            </w:r>
          </w:p>
        </w:tc>
        <w:tc>
          <w:tcPr>
            <w:tcW w:w="107" w:type="dxa"/>
            <w:tcBorders/>
            <w:shd w:fill="FFFFFF" w:val="clear"/>
            <w:vAlign w:val="center"/>
          </w:tcPr>
          <w:p>
            <w:pPr>
              <w:pStyle w:val="TableContents"/>
              <w:bidi w:val="0"/>
              <w:spacing w:before="0" w:after="283"/>
              <w:ind w:left="0" w:right="0" w:hanging="180"/>
              <w:jc w:val="left"/>
              <w:rPr/>
            </w:pPr>
            <w:r>
              <w:rPr/>
              <w:t>)</w:t>
            </w:r>
          </w:p>
        </w:tc>
      </w:tr>
      <w:tr>
        <w:trPr/>
        <w:tc>
          <w:tcPr>
            <w:tcW w:w="7064" w:type="dxa"/>
            <w:tcBorders/>
            <w:shd w:fill="CCEEFF" w:val="clear"/>
            <w:vAlign w:val="center"/>
          </w:tcPr>
          <w:p>
            <w:pPr>
              <w:pStyle w:val="TableContents"/>
              <w:bidi w:val="0"/>
              <w:spacing w:before="0" w:after="283"/>
              <w:jc w:val="left"/>
              <w:rPr/>
            </w:pPr>
            <w:r>
              <w:rPr/>
              <w:t>Accrued payroll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(6,248</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(6,157</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(907</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7064" w:type="dxa"/>
            <w:tcBorders/>
            <w:shd w:fill="FFFFFF" w:val="clear"/>
            <w:vAlign w:val="center"/>
          </w:tcPr>
          <w:p>
            <w:pPr>
              <w:pStyle w:val="TableContents"/>
              <w:bidi w:val="0"/>
              <w:spacing w:before="0" w:after="283"/>
              <w:jc w:val="left"/>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15,396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8,488</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1,251</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064"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(17,935</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(7,344</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(1,082</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7064" w:type="dxa"/>
            <w:tcBorders/>
            <w:shd w:fill="FFFFFF" w:val="clear"/>
            <w:vAlign w:val="center"/>
          </w:tcPr>
          <w:p>
            <w:pPr>
              <w:pStyle w:val="TableContents"/>
              <w:bidi w:val="0"/>
              <w:spacing w:before="0" w:after="283"/>
              <w:jc w:val="left"/>
              <w:rPr/>
            </w:pPr>
            <w:r>
              <w:rPr/>
              <w:t>Tax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1" w:type="dxa"/>
            <w:tcBorders>
              <w:bottom w:val="single" w:sz="12" w:space="0" w:color="000000"/>
            </w:tcBorders>
            <w:shd w:fill="FFFFFF" w:val="clear"/>
            <w:tcMar>
              <w:bottom w:w="28" w:type="dxa"/>
            </w:tcMar>
            <w:vAlign w:val="center"/>
          </w:tcPr>
          <w:p>
            <w:pPr>
              <w:pStyle w:val="TableContents"/>
              <w:bidi w:val="0"/>
              <w:spacing w:before="0" w:after="283"/>
              <w:jc w:val="right"/>
              <w:rPr/>
            </w:pPr>
            <w:r>
              <w:rPr/>
              <w:t>(37,298</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064" w:type="dxa"/>
            <w:tcBorders/>
            <w:shd w:fill="CCEEFF" w:val="clear"/>
            <w:vAlign w:val="center"/>
          </w:tcPr>
          <w:p>
            <w:pPr>
              <w:pStyle w:val="TableContents"/>
              <w:bidi w:val="0"/>
              <w:spacing w:before="0" w:after="283"/>
              <w:jc w:val="left"/>
              <w:rPr>
                <w:b/>
              </w:rPr>
            </w:pPr>
            <w:r>
              <w:rPr>
                <w:b/>
              </w:rPr>
              <w:t>Net cash generated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1,485</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3,761</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554</w:t>
            </w:r>
          </w:p>
        </w:tc>
        <w:tc>
          <w:tcPr>
            <w:tcW w:w="10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24"/>
        <w:gridCol w:w="60"/>
        <w:gridCol w:w="60"/>
        <w:gridCol w:w="875"/>
        <w:gridCol w:w="95"/>
        <w:gridCol w:w="60"/>
        <w:gridCol w:w="60"/>
        <w:gridCol w:w="875"/>
        <w:gridCol w:w="95"/>
        <w:gridCol w:w="60"/>
        <w:gridCol w:w="65"/>
        <w:gridCol w:w="870"/>
        <w:gridCol w:w="106"/>
      </w:tblGrid>
      <w:tr>
        <w:trPr/>
        <w:tc>
          <w:tcPr>
            <w:tcW w:w="69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06" w:type="dxa"/>
            <w:tcBorders/>
            <w:vAlign w:val="center"/>
          </w:tcPr>
          <w:p>
            <w:pPr>
              <w:pStyle w:val="TableContents"/>
              <w:bidi w:val="0"/>
              <w:spacing w:before="0" w:after="283"/>
              <w:jc w:val="left"/>
              <w:rPr/>
            </w:pPr>
            <w:r>
              <w:rPr/>
              <w:t> </w:t>
            </w:r>
          </w:p>
        </w:tc>
      </w:tr>
      <w:tr>
        <w:trPr/>
        <w:tc>
          <w:tcPr>
            <w:tcW w:w="69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6" w:type="dxa"/>
            <w:tcBorders/>
            <w:vAlign w:val="center"/>
          </w:tcPr>
          <w:p>
            <w:pPr>
              <w:pStyle w:val="TableContents"/>
              <w:bidi w:val="0"/>
              <w:spacing w:before="0" w:after="283"/>
              <w:jc w:val="left"/>
              <w:rPr/>
            </w:pPr>
            <w:r>
              <w:rPr/>
              <w:t> </w:t>
            </w:r>
          </w:p>
        </w:tc>
      </w:tr>
      <w:tr>
        <w:trPr/>
        <w:tc>
          <w:tcPr>
            <w:tcW w:w="69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US$</w:t>
            </w:r>
          </w:p>
        </w:tc>
        <w:tc>
          <w:tcPr>
            <w:tcW w:w="106" w:type="dxa"/>
            <w:tcBorders/>
            <w:vAlign w:val="center"/>
          </w:tcPr>
          <w:p>
            <w:pPr>
              <w:pStyle w:val="TableContents"/>
              <w:bidi w:val="0"/>
              <w:spacing w:before="0" w:after="283"/>
              <w:jc w:val="left"/>
              <w:rPr/>
            </w:pPr>
            <w:r>
              <w:rPr/>
              <w:t> </w:t>
            </w:r>
          </w:p>
        </w:tc>
      </w:tr>
      <w:tr>
        <w:trPr/>
        <w:tc>
          <w:tcPr>
            <w:tcW w:w="69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Note 2(v)</w:t>
            </w:r>
          </w:p>
        </w:tc>
        <w:tc>
          <w:tcPr>
            <w:tcW w:w="106" w:type="dxa"/>
            <w:tcBorders/>
            <w:vAlign w:val="center"/>
          </w:tcPr>
          <w:p>
            <w:pPr>
              <w:pStyle w:val="TableContents"/>
              <w:bidi w:val="0"/>
              <w:spacing w:before="0" w:after="283"/>
              <w:jc w:val="left"/>
              <w:rPr/>
            </w:pPr>
            <w:r>
              <w:rPr/>
              <w:t> </w:t>
            </w:r>
          </w:p>
        </w:tc>
      </w:tr>
      <w:tr>
        <w:trPr/>
        <w:tc>
          <w:tcPr>
            <w:tcW w:w="6924" w:type="dxa"/>
            <w:tcBorders/>
            <w:vAlign w:val="center"/>
          </w:tcPr>
          <w:p>
            <w:pPr>
              <w:pStyle w:val="TableContents"/>
              <w:bidi w:val="0"/>
              <w:spacing w:before="0" w:after="283"/>
              <w:jc w:val="left"/>
              <w:rPr>
                <w:b/>
              </w:rPr>
            </w:pPr>
            <w:r>
              <w:rPr>
                <w:b/>
              </w:rPr>
              <w:t>Cash flows from investing activities:</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ind w:left="0" w:right="0" w:hanging="180"/>
              <w:jc w:val="left"/>
              <w:rPr/>
            </w:pPr>
            <w:r>
              <w:rPr/>
              <w:t> </w:t>
            </w:r>
          </w:p>
        </w:tc>
      </w:tr>
      <w:tr>
        <w:trPr/>
        <w:tc>
          <w:tcPr>
            <w:tcW w:w="6924" w:type="dxa"/>
            <w:tcBorders/>
            <w:shd w:fill="CCEEFF" w:val="clear"/>
            <w:vAlign w:val="center"/>
          </w:tcPr>
          <w:p>
            <w:pPr>
              <w:pStyle w:val="TableContents"/>
              <w:bidi w:val="0"/>
              <w:spacing w:before="0" w:after="283"/>
              <w:jc w:val="left"/>
              <w:rPr/>
            </w:pPr>
            <w:r>
              <w:rPr/>
              <w:t>Purchase of short-term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(56,943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(536</w:t>
            </w:r>
          </w:p>
        </w:tc>
        <w:tc>
          <w:tcPr>
            <w:tcW w:w="106" w:type="dxa"/>
            <w:tcBorders/>
            <w:shd w:fill="CCEEFF" w:val="clear"/>
            <w:vAlign w:val="center"/>
          </w:tcPr>
          <w:p>
            <w:pPr>
              <w:pStyle w:val="TableContents"/>
              <w:bidi w:val="0"/>
              <w:spacing w:before="0" w:after="283"/>
              <w:ind w:left="0" w:right="0" w:hanging="180"/>
              <w:jc w:val="left"/>
              <w:rPr/>
            </w:pPr>
            <w:r>
              <w:rPr/>
              <w:t>)</w:t>
            </w:r>
          </w:p>
        </w:tc>
      </w:tr>
      <w:tr>
        <w:trPr/>
        <w:tc>
          <w:tcPr>
            <w:tcW w:w="6924" w:type="dxa"/>
            <w:tcBorders/>
            <w:shd w:fill="FFFFFF" w:val="clear"/>
            <w:vAlign w:val="center"/>
          </w:tcPr>
          <w:p>
            <w:pPr>
              <w:pStyle w:val="TableContents"/>
              <w:bidi w:val="0"/>
              <w:spacing w:before="0" w:after="283"/>
              <w:jc w:val="left"/>
              <w:rPr/>
            </w:pPr>
            <w:r>
              <w:rPr/>
              <w:t>Proceeds from disposal of short-term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93,318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7,682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1,132</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924" w:type="dxa"/>
            <w:tcBorders/>
            <w:shd w:fill="CCEEFF" w:val="clear"/>
            <w:vAlign w:val="center"/>
          </w:tcPr>
          <w:p>
            <w:pPr>
              <w:pStyle w:val="TableContents"/>
              <w:bidi w:val="0"/>
              <w:spacing w:before="0" w:after="283"/>
              <w:jc w:val="left"/>
              <w:rPr/>
            </w:pPr>
            <w:r>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(299</w:t>
            </w:r>
          </w:p>
        </w:tc>
        <w:tc>
          <w:tcPr>
            <w:tcW w:w="106" w:type="dxa"/>
            <w:tcBorders/>
            <w:shd w:fill="CCEEFF" w:val="clear"/>
            <w:vAlign w:val="center"/>
          </w:tcPr>
          <w:p>
            <w:pPr>
              <w:pStyle w:val="TableContents"/>
              <w:bidi w:val="0"/>
              <w:spacing w:before="0" w:after="283"/>
              <w:ind w:left="0" w:right="0" w:hanging="180"/>
              <w:jc w:val="left"/>
              <w:rPr/>
            </w:pPr>
            <w:r>
              <w:rPr/>
              <w:t>)</w:t>
            </w:r>
          </w:p>
        </w:tc>
      </w:tr>
      <w:tr>
        <w:trPr/>
        <w:tc>
          <w:tcPr>
            <w:tcW w:w="6924" w:type="dxa"/>
            <w:tcBorders/>
            <w:shd w:fill="FFFFFF" w:val="clear"/>
            <w:vAlign w:val="center"/>
          </w:tcPr>
          <w:p>
            <w:pPr>
              <w:pStyle w:val="TableContents"/>
              <w:bidi w:val="0"/>
              <w:spacing w:before="0" w:after="283"/>
              <w:jc w:val="left"/>
              <w:rPr/>
            </w:pPr>
            <w:r>
              <w:rPr/>
              <w:t>Proceeds from disposal of property, plant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5</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924" w:type="dxa"/>
            <w:tcBorders/>
            <w:shd w:fill="CCEEFF" w:val="clear"/>
            <w:vAlign w:val="center"/>
          </w:tcPr>
          <w:p>
            <w:pPr>
              <w:pStyle w:val="TableContents"/>
              <w:bidi w:val="0"/>
              <w:spacing w:before="0" w:after="283"/>
              <w:jc w:val="left"/>
              <w:rPr/>
            </w:pPr>
            <w:r>
              <w:rPr/>
              <w:t>Cash paid out for loan receivables from third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(121,539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(17,913</w:t>
            </w:r>
          </w:p>
        </w:tc>
        <w:tc>
          <w:tcPr>
            <w:tcW w:w="106" w:type="dxa"/>
            <w:tcBorders/>
            <w:shd w:fill="CCEEFF" w:val="clear"/>
            <w:vAlign w:val="center"/>
          </w:tcPr>
          <w:p>
            <w:pPr>
              <w:pStyle w:val="TableContents"/>
              <w:bidi w:val="0"/>
              <w:spacing w:before="0" w:after="283"/>
              <w:ind w:left="0" w:right="0" w:hanging="180"/>
              <w:jc w:val="left"/>
              <w:rPr/>
            </w:pPr>
            <w:r>
              <w:rPr/>
              <w:t>)</w:t>
            </w:r>
          </w:p>
        </w:tc>
      </w:tr>
      <w:tr>
        <w:trPr/>
        <w:tc>
          <w:tcPr>
            <w:tcW w:w="6924" w:type="dxa"/>
            <w:tcBorders/>
            <w:shd w:fill="FFFFFF" w:val="clear"/>
            <w:vAlign w:val="center"/>
          </w:tcPr>
          <w:p>
            <w:pPr>
              <w:pStyle w:val="TableContents"/>
              <w:bidi w:val="0"/>
              <w:spacing w:before="0" w:after="283"/>
              <w:jc w:val="left"/>
              <w:rPr/>
            </w:pPr>
            <w:r>
              <w:rPr/>
              <w:t>Cash received for loan receivables from third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699</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924" w:type="dxa"/>
            <w:tcBorders/>
            <w:shd w:fill="CCEEFF" w:val="clear"/>
            <w:vAlign w:val="center"/>
          </w:tcPr>
          <w:p>
            <w:pPr>
              <w:pStyle w:val="TableContents"/>
              <w:bidi w:val="0"/>
              <w:spacing w:before="0" w:after="283"/>
              <w:jc w:val="left"/>
              <w:rPr/>
            </w:pPr>
            <w:r>
              <w:rPr/>
              <w:t>Payment for business acquisitions, net of cash acquired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(150,018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(22,110</w:t>
            </w:r>
          </w:p>
        </w:tc>
        <w:tc>
          <w:tcPr>
            <w:tcW w:w="106" w:type="dxa"/>
            <w:tcBorders/>
            <w:shd w:fill="CCEEFF" w:val="clear"/>
            <w:vAlign w:val="center"/>
          </w:tcPr>
          <w:p>
            <w:pPr>
              <w:pStyle w:val="TableContents"/>
              <w:bidi w:val="0"/>
              <w:spacing w:before="0" w:after="283"/>
              <w:ind w:left="0" w:right="0" w:hanging="180"/>
              <w:jc w:val="left"/>
              <w:rPr/>
            </w:pPr>
            <w:r>
              <w:rPr/>
              <w:t>)</w:t>
            </w:r>
          </w:p>
        </w:tc>
      </w:tr>
      <w:tr>
        <w:trPr/>
        <w:tc>
          <w:tcPr>
            <w:tcW w:w="6924" w:type="dxa"/>
            <w:tcBorders/>
            <w:shd w:fill="FFFFFF" w:val="clear"/>
            <w:vAlign w:val="center"/>
          </w:tcPr>
          <w:p>
            <w:pPr>
              <w:pStyle w:val="TableContents"/>
              <w:bidi w:val="0"/>
              <w:spacing w:before="0" w:after="283"/>
              <w:jc w:val="left"/>
              <w:rPr/>
            </w:pPr>
            <w:r>
              <w:rPr/>
              <w:t>Increase in amounts due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(10,414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(141</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6924" w:type="dxa"/>
            <w:tcBorders/>
            <w:shd w:fill="CCEEFF" w:val="clear"/>
            <w:vAlign w:val="center"/>
          </w:tcPr>
          <w:p>
            <w:pPr>
              <w:pStyle w:val="TableContents"/>
              <w:bidi w:val="0"/>
              <w:spacing w:before="0" w:after="283"/>
              <w:jc w:val="left"/>
              <w:rPr/>
            </w:pPr>
            <w:r>
              <w:rPr/>
              <w:t>Decrease in amounts due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101</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6924" w:type="dxa"/>
            <w:tcBorders/>
            <w:shd w:fill="FFFFFF" w:val="clear"/>
            <w:vAlign w:val="center"/>
          </w:tcPr>
          <w:p>
            <w:pPr>
              <w:pStyle w:val="TableContents"/>
              <w:bidi w:val="0"/>
              <w:spacing w:before="0" w:after="283"/>
              <w:jc w:val="left"/>
              <w:rPr/>
            </w:pPr>
            <w:r>
              <w:rPr/>
              <w:t>Disposal of subsidiaries, net of cash disposed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(131,068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924" w:type="dxa"/>
            <w:tcBorders/>
            <w:shd w:fill="CCEEFF" w:val="clear"/>
            <w:vAlign w:val="center"/>
          </w:tcPr>
          <w:p>
            <w:pPr>
              <w:pStyle w:val="TableContents"/>
              <w:bidi w:val="0"/>
              <w:spacing w:before="0" w:after="283"/>
              <w:jc w:val="left"/>
              <w:rPr/>
            </w:pPr>
            <w:r>
              <w:rPr/>
              <w:t>Consideration received in respect of subsidiaries disposed of in the prior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38,240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5,636</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6924" w:type="dxa"/>
            <w:tcBorders/>
            <w:shd w:fill="FFFFFF" w:val="clear"/>
            <w:vAlign w:val="center"/>
          </w:tcPr>
          <w:p>
            <w:pPr>
              <w:pStyle w:val="TableContents"/>
              <w:bidi w:val="0"/>
              <w:spacing w:before="0" w:after="283"/>
              <w:jc w:val="left"/>
              <w:rPr/>
            </w:pPr>
            <w:r>
              <w:rPr/>
              <w:t>Cash received from disposal of an equity investment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924" w:type="dxa"/>
            <w:tcBorders/>
            <w:shd w:fill="CCEEFF" w:val="clear"/>
            <w:vAlign w:val="center"/>
          </w:tcPr>
          <w:p>
            <w:pPr>
              <w:pStyle w:val="TableContents"/>
              <w:bidi w:val="0"/>
              <w:spacing w:before="0" w:after="283"/>
              <w:jc w:val="left"/>
              <w:rPr/>
            </w:pPr>
            <w:r>
              <w:rPr/>
              <w:t>Cash acquired on non-cash acquisitions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6924"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(104,411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(226,803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shd w:fill="FFFFFF" w:val="clear"/>
            <w:tcMar>
              <w:bottom w:w="28" w:type="dxa"/>
            </w:tcMar>
            <w:vAlign w:val="center"/>
          </w:tcPr>
          <w:p>
            <w:pPr>
              <w:pStyle w:val="TableContents"/>
              <w:bidi w:val="0"/>
              <w:spacing w:before="0" w:after="283"/>
              <w:jc w:val="right"/>
              <w:rPr/>
            </w:pPr>
            <w:r>
              <w:rPr/>
              <w:t>(33,426</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6924"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6924" w:type="dxa"/>
            <w:tcBorders/>
            <w:shd w:fill="FFFFFF" w:val="clear"/>
            <w:vAlign w:val="center"/>
          </w:tcPr>
          <w:p>
            <w:pPr>
              <w:pStyle w:val="TableContents"/>
              <w:bidi w:val="0"/>
              <w:spacing w:before="0" w:after="283"/>
              <w:jc w:val="left"/>
              <w:rPr/>
            </w:pPr>
            <w:r>
              <w:rPr/>
              <w:t>Proceeds of issuance of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7,299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234,688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34,589</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924" w:type="dxa"/>
            <w:tcBorders/>
            <w:shd w:fill="CCEEFF" w:val="clear"/>
            <w:vAlign w:val="center"/>
          </w:tcPr>
          <w:p>
            <w:pPr>
              <w:pStyle w:val="TableContents"/>
              <w:bidi w:val="0"/>
              <w:spacing w:before="0" w:after="283"/>
              <w:jc w:val="left"/>
              <w:rPr/>
            </w:pPr>
            <w:r>
              <w:rPr/>
              <w:t>Repayment of bank and other 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(52,926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(9</w:t>
            </w:r>
          </w:p>
        </w:tc>
        <w:tc>
          <w:tcPr>
            <w:tcW w:w="106" w:type="dxa"/>
            <w:tcBorders/>
            <w:shd w:fill="CCEEFF" w:val="clear"/>
            <w:vAlign w:val="center"/>
          </w:tcPr>
          <w:p>
            <w:pPr>
              <w:pStyle w:val="TableContents"/>
              <w:bidi w:val="0"/>
              <w:spacing w:before="0" w:after="283"/>
              <w:ind w:left="0" w:right="0" w:hanging="180"/>
              <w:jc w:val="left"/>
              <w:rPr/>
            </w:pPr>
            <w:r>
              <w:rPr/>
              <w:t>)</w:t>
            </w:r>
          </w:p>
        </w:tc>
      </w:tr>
      <w:tr>
        <w:trPr/>
        <w:tc>
          <w:tcPr>
            <w:tcW w:w="6924" w:type="dxa"/>
            <w:tcBorders/>
            <w:shd w:fill="FFFFFF" w:val="clear"/>
            <w:vAlign w:val="center"/>
          </w:tcPr>
          <w:p>
            <w:pPr>
              <w:pStyle w:val="TableContents"/>
              <w:bidi w:val="0"/>
              <w:spacing w:before="0" w:after="283"/>
              <w:jc w:val="left"/>
              <w:rPr/>
            </w:pPr>
            <w:r>
              <w:rPr/>
              <w:t>Payments of deferred offering costs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(1,205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shd w:fill="FFFFFF" w:val="clear"/>
            <w:tcMar>
              <w:bottom w:w="28" w:type="dxa"/>
            </w:tcMar>
            <w:vAlign w:val="center"/>
          </w:tcPr>
          <w:p>
            <w:pPr>
              <w:pStyle w:val="TableContents"/>
              <w:bidi w:val="0"/>
              <w:spacing w:before="0" w:after="283"/>
              <w:jc w:val="right"/>
              <w:rPr/>
            </w:pPr>
            <w:r>
              <w:rPr/>
              <w:t>(178</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6924" w:type="dxa"/>
            <w:tcBorders/>
            <w:shd w:fill="CCEEFF" w:val="clear"/>
            <w:vAlign w:val="center"/>
          </w:tcPr>
          <w:p>
            <w:pPr>
              <w:pStyle w:val="TableContents"/>
              <w:bidi w:val="0"/>
              <w:spacing w:before="0" w:after="283"/>
              <w:jc w:val="left"/>
              <w:rPr>
                <w:b/>
              </w:rPr>
            </w:pPr>
            <w:r>
              <w:rPr>
                <w:b/>
              </w:rPr>
              <w:t>Net cash (used in) generated from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(45,627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233,424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shd w:fill="CCEEFF" w:val="clear"/>
            <w:tcMar>
              <w:bottom w:w="28" w:type="dxa"/>
            </w:tcMar>
            <w:vAlign w:val="center"/>
          </w:tcPr>
          <w:p>
            <w:pPr>
              <w:pStyle w:val="TableContents"/>
              <w:bidi w:val="0"/>
              <w:spacing w:before="0" w:after="283"/>
              <w:jc w:val="right"/>
              <w:rPr/>
            </w:pPr>
            <w:r>
              <w:rPr/>
              <w:t>34,402</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6924" w:type="dxa"/>
            <w:tcBorders/>
            <w:shd w:fill="FFFFFF" w:val="clear"/>
            <w:vAlign w:val="center"/>
          </w:tcPr>
          <w:p>
            <w:pPr>
              <w:pStyle w:val="TableContents"/>
              <w:bidi w:val="0"/>
              <w:spacing w:before="0" w:after="283"/>
              <w:jc w:val="left"/>
              <w:rPr>
                <w:b/>
              </w:rPr>
            </w:pPr>
            <w:r>
              <w:rPr>
                <w:b/>
              </w:rPr>
              <w:t>Net (decrease) increase in cash and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(148,553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10,382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shd w:fill="FFFFFF" w:val="clear"/>
            <w:tcMar>
              <w:bottom w:w="28" w:type="dxa"/>
            </w:tcMar>
            <w:vAlign w:val="center"/>
          </w:tcPr>
          <w:p>
            <w:pPr>
              <w:pStyle w:val="TableContents"/>
              <w:bidi w:val="0"/>
              <w:spacing w:before="0" w:after="283"/>
              <w:jc w:val="right"/>
              <w:rPr/>
            </w:pPr>
            <w:r>
              <w:rPr/>
              <w:t>1,530</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924" w:type="dxa"/>
            <w:tcBorders/>
            <w:shd w:fill="CCEEFF" w:val="clear"/>
            <w:vAlign w:val="center"/>
          </w:tcPr>
          <w:p>
            <w:pPr>
              <w:pStyle w:val="TableContents"/>
              <w:bidi w:val="0"/>
              <w:spacing w:before="0" w:after="283"/>
              <w:jc w:val="left"/>
              <w:rPr>
                <w:b/>
              </w:rPr>
            </w:pPr>
            <w:r>
              <w:rPr>
                <w:b/>
              </w:rPr>
              <w:t>Cash and cash equivalents and restricted cash at beginning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245,744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50,256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7,407</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6924" w:type="dxa"/>
            <w:tcBorders/>
            <w:shd w:fill="FFFFFF" w:val="clear"/>
            <w:vAlign w:val="center"/>
          </w:tcPr>
          <w:p>
            <w:pPr>
              <w:pStyle w:val="TableContents"/>
              <w:bidi w:val="0"/>
              <w:spacing w:before="0" w:after="283"/>
              <w:jc w:val="left"/>
              <w:rPr/>
            </w:pPr>
            <w:r>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(7,856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shd w:fill="FFFFFF" w:val="clear"/>
            <w:tcMar>
              <w:bottom w:w="28" w:type="dxa"/>
            </w:tcMar>
            <w:vAlign w:val="center"/>
          </w:tcPr>
          <w:p>
            <w:pPr>
              <w:pStyle w:val="TableContents"/>
              <w:bidi w:val="0"/>
              <w:spacing w:before="0" w:after="283"/>
              <w:jc w:val="right"/>
              <w:rPr/>
            </w:pPr>
            <w:r>
              <w:rPr/>
              <w:t>(1,158</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6924" w:type="dxa"/>
            <w:tcBorders/>
            <w:shd w:fill="CCEEFF" w:val="clear"/>
            <w:vAlign w:val="center"/>
          </w:tcPr>
          <w:p>
            <w:pPr>
              <w:pStyle w:val="TableContents"/>
              <w:bidi w:val="0"/>
              <w:spacing w:before="0" w:after="283"/>
              <w:jc w:val="left"/>
              <w:rPr>
                <w:b/>
              </w:rPr>
            </w:pPr>
            <w:r>
              <w:rPr>
                <w:b/>
              </w:rPr>
              <w:t>Cash and cash equivalents and restricted cash at the end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96,639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52,782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shd w:fill="CCEEFF" w:val="clear"/>
            <w:tcMar>
              <w:bottom w:w="28" w:type="dxa"/>
            </w:tcMar>
            <w:vAlign w:val="center"/>
          </w:tcPr>
          <w:p>
            <w:pPr>
              <w:pStyle w:val="TableContents"/>
              <w:bidi w:val="0"/>
              <w:spacing w:before="0" w:after="283"/>
              <w:jc w:val="right"/>
              <w:rPr/>
            </w:pPr>
            <w:r>
              <w:rPr/>
              <w:t>7,779</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6924" w:type="dxa"/>
            <w:tcBorders/>
            <w:shd w:fill="FFFFFF" w:val="clear"/>
            <w:vAlign w:val="center"/>
          </w:tcPr>
          <w:p>
            <w:pPr>
              <w:pStyle w:val="TableContents"/>
              <w:bidi w:val="0"/>
              <w:spacing w:before="0" w:after="283"/>
              <w:jc w:val="left"/>
              <w:rPr>
                <w:b/>
              </w:rPr>
            </w:pPr>
            <w:r>
              <w:rPr>
                <w:b/>
              </w:rPr>
              <w:t>Reconciliation in amounts on the consolidated balance sheets: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924" w:type="dxa"/>
            <w:tcBorders/>
            <w:shd w:fill="CCEEFF" w:val="clear"/>
            <w:vAlign w:val="center"/>
          </w:tcPr>
          <w:p>
            <w:pPr>
              <w:pStyle w:val="TableContents"/>
              <w:bidi w:val="0"/>
              <w:spacing w:before="0" w:after="283"/>
              <w:jc w:val="left"/>
              <w:rPr/>
            </w:pPr>
            <w:r>
              <w:rPr/>
              <w:t>Cash and cash equivalents at the end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77,292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33,326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4,912</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6924" w:type="dxa"/>
            <w:tcBorders/>
            <w:shd w:fill="FFFFFF" w:val="clear"/>
            <w:vAlign w:val="center"/>
          </w:tcPr>
          <w:p>
            <w:pPr>
              <w:pStyle w:val="TableContents"/>
              <w:bidi w:val="0"/>
              <w:spacing w:before="0" w:after="283"/>
              <w:jc w:val="left"/>
              <w:rPr/>
            </w:pPr>
            <w:r>
              <w:rPr/>
              <w:t>Restricted cash at the end of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19,347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19,456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shd w:fill="FFFFFF" w:val="clear"/>
            <w:tcMar>
              <w:bottom w:w="28" w:type="dxa"/>
            </w:tcMar>
            <w:vAlign w:val="center"/>
          </w:tcPr>
          <w:p>
            <w:pPr>
              <w:pStyle w:val="TableContents"/>
              <w:bidi w:val="0"/>
              <w:spacing w:before="0" w:after="283"/>
              <w:jc w:val="right"/>
              <w:rPr/>
            </w:pPr>
            <w:r>
              <w:rPr/>
              <w:t>2,867</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924" w:type="dxa"/>
            <w:tcBorders/>
            <w:shd w:fill="CCEEFF" w:val="clear"/>
            <w:vAlign w:val="center"/>
          </w:tcPr>
          <w:p>
            <w:pPr>
              <w:pStyle w:val="TableContents"/>
              <w:bidi w:val="0"/>
              <w:spacing w:before="0" w:after="283"/>
              <w:jc w:val="left"/>
              <w:rPr>
                <w:b/>
              </w:rPr>
            </w:pPr>
            <w:r>
              <w:rPr>
                <w:b/>
              </w:rPr>
              <w:t>Total of cash and cash equivalents and restricted cash at the end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96,639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52,782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shd w:fill="CCEEFF" w:val="clear"/>
            <w:tcMar>
              <w:bottom w:w="28" w:type="dxa"/>
            </w:tcMar>
            <w:vAlign w:val="center"/>
          </w:tcPr>
          <w:p>
            <w:pPr>
              <w:pStyle w:val="TableContents"/>
              <w:bidi w:val="0"/>
              <w:spacing w:before="0" w:after="283"/>
              <w:jc w:val="right"/>
              <w:rPr/>
            </w:pPr>
            <w:r>
              <w:rPr/>
              <w:t>7,779</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6924"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924" w:type="dxa"/>
            <w:tcBorders/>
            <w:shd w:fill="CCEEFF" w:val="clear"/>
            <w:vAlign w:val="center"/>
          </w:tcPr>
          <w:p>
            <w:pPr>
              <w:pStyle w:val="TableContents"/>
              <w:bidi w:val="0"/>
              <w:spacing w:before="0" w:after="283"/>
              <w:jc w:val="left"/>
              <w:rPr/>
            </w:pPr>
            <w:r>
              <w:rPr/>
              <w:t>Income taxes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(10,264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(9,609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(1,416</w:t>
            </w:r>
          </w:p>
        </w:tc>
        <w:tc>
          <w:tcPr>
            <w:tcW w:w="106" w:type="dxa"/>
            <w:tcBorders/>
            <w:shd w:fill="CCEEFF" w:val="clear"/>
            <w:vAlign w:val="center"/>
          </w:tcPr>
          <w:p>
            <w:pPr>
              <w:pStyle w:val="TableContents"/>
              <w:bidi w:val="0"/>
              <w:spacing w:before="0" w:after="283"/>
              <w:ind w:left="0" w:right="0" w:hanging="180"/>
              <w:jc w:val="left"/>
              <w:rPr/>
            </w:pPr>
            <w:r>
              <w:rPr/>
              <w:t>)</w:t>
            </w:r>
          </w:p>
        </w:tc>
      </w:tr>
      <w:tr>
        <w:trPr/>
        <w:tc>
          <w:tcPr>
            <w:tcW w:w="6924" w:type="dxa"/>
            <w:tcBorders/>
            <w:shd w:fill="FFFFFF" w:val="clear"/>
            <w:vAlign w:val="center"/>
          </w:tcPr>
          <w:p>
            <w:pPr>
              <w:pStyle w:val="TableContents"/>
              <w:bidi w:val="0"/>
              <w:spacing w:before="0" w:after="283"/>
              <w:jc w:val="left"/>
              <w:rPr/>
            </w:pPr>
            <w:r>
              <w:rPr/>
              <w:t>Interests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(65</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6924" w:type="dxa"/>
            <w:tcBorders/>
            <w:shd w:fill="CCEEFF" w:val="clear"/>
            <w:vAlign w:val="center"/>
          </w:tcPr>
          <w:p>
            <w:pPr>
              <w:pStyle w:val="TableContents"/>
              <w:bidi w:val="0"/>
              <w:spacing w:before="0" w:after="283"/>
              <w:jc w:val="left"/>
              <w:rPr>
                <w:b/>
              </w:rPr>
            </w:pPr>
            <w:r>
              <w:rPr>
                <w:b/>
              </w:rPr>
              <w:t>Supplemental disclosure of non-cash information: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6924" w:type="dxa"/>
            <w:tcBorders/>
            <w:shd w:fill="FFFFFF" w:val="clear"/>
            <w:vAlign w:val="center"/>
          </w:tcPr>
          <w:p>
            <w:pPr>
              <w:pStyle w:val="TableContents"/>
              <w:bidi w:val="0"/>
              <w:spacing w:before="0" w:after="283"/>
              <w:jc w:val="left"/>
              <w:rPr/>
            </w:pPr>
            <w:r>
              <w:rPr/>
              <w:t>Right-of-use assets obtained in exchange for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14,988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62</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924" w:type="dxa"/>
            <w:tcBorders/>
            <w:shd w:fill="CCEEFF" w:val="clear"/>
            <w:vAlign w:val="center"/>
          </w:tcPr>
          <w:p>
            <w:pPr>
              <w:pStyle w:val="TableContents"/>
              <w:bidi w:val="0"/>
              <w:spacing w:before="0" w:after="283"/>
              <w:jc w:val="left"/>
              <w:rPr/>
            </w:pPr>
            <w:r>
              <w:rPr/>
              <w:t>Assets acquired through the issuance of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715,713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105,483</w:t>
            </w:r>
          </w:p>
        </w:tc>
        <w:tc>
          <w:tcPr>
            <w:tcW w:w="10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4" w:name="ea030653901ex99-2.htm"/>
      <w:bookmarkStart w:id="5" w:name="ksea030653901ex992"/>
      <w:bookmarkEnd w:id="4"/>
      <w:bookmarkEnd w:id="5"/>
      <w:r>
        <w:rPr>
          <w:b/>
        </w:rPr>
        <w:t>Exhibit 99.2</w:t>
      </w:r>
      <w:r>
        <w:br w:type="page"/>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AIFU INC.</w:t>
        <w:br/>
        <w:t>INDEX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690"/>
        <w:gridCol w:w="60"/>
        <w:gridCol w:w="455"/>
      </w:tblGrid>
      <w:tr>
        <w:trPr/>
        <w:tc>
          <w:tcPr>
            <w:tcW w:w="9690" w:type="dxa"/>
            <w:tcBorders>
              <w:bottom w:val="single" w:sz="12" w:space="0" w:color="000000"/>
            </w:tcBorders>
            <w:vAlign w:val="center"/>
          </w:tcPr>
          <w:p>
            <w:pPr>
              <w:pStyle w:val="TableContents"/>
              <w:bidi w:val="0"/>
              <w:spacing w:before="0" w:after="283"/>
              <w:jc w:val="left"/>
              <w:rPr>
                <w:b/>
                <w:sz w:val="20"/>
              </w:rPr>
            </w:pPr>
            <w:r>
              <w:rPr>
                <w:b/>
                <w:sz w:val="20"/>
              </w:rPr>
              <w:t>Contents</w:t>
            </w:r>
          </w:p>
        </w:tc>
        <w:tc>
          <w:tcPr>
            <w:tcW w:w="60" w:type="dxa"/>
            <w:tcBorders/>
            <w:tcMar>
              <w:bottom w:w="0" w:type="dxa"/>
            </w:tcMar>
            <w:vAlign w:val="center"/>
          </w:tcPr>
          <w:p>
            <w:pPr>
              <w:pStyle w:val="TableContents"/>
              <w:bidi w:val="0"/>
              <w:spacing w:before="0" w:after="283"/>
              <w:jc w:val="left"/>
              <w:rPr/>
            </w:pPr>
            <w:r>
              <w:rPr/>
              <w:t> </w:t>
            </w:r>
          </w:p>
        </w:tc>
        <w:tc>
          <w:tcPr>
            <w:tcW w:w="455" w:type="dxa"/>
            <w:tcBorders>
              <w:bottom w:val="single" w:sz="12" w:space="0" w:color="000000"/>
            </w:tcBorders>
            <w:vAlign w:val="center"/>
          </w:tcPr>
          <w:p>
            <w:pPr>
              <w:pStyle w:val="TableContents"/>
              <w:bidi w:val="0"/>
              <w:spacing w:before="0" w:after="283"/>
              <w:jc w:val="center"/>
              <w:rPr>
                <w:b/>
                <w:sz w:val="20"/>
              </w:rPr>
            </w:pPr>
            <w:r>
              <w:rPr>
                <w:b/>
                <w:sz w:val="20"/>
              </w:rPr>
              <w:t>Page</w:t>
            </w:r>
          </w:p>
        </w:tc>
      </w:tr>
      <w:tr>
        <w:trPr/>
        <w:tc>
          <w:tcPr>
            <w:tcW w:w="96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pPr>
            <w:r>
              <w:rPr/>
              <w:t> </w:t>
            </w:r>
          </w:p>
        </w:tc>
      </w:tr>
      <w:tr>
        <w:trPr/>
        <w:tc>
          <w:tcPr>
            <w:tcW w:w="9690" w:type="dxa"/>
            <w:tcBorders/>
            <w:shd w:fill="CCEEFF" w:val="clear"/>
            <w:tcMar>
              <w:bottom w:w="0" w:type="dxa"/>
            </w:tcMar>
            <w:vAlign w:val="center"/>
          </w:tcPr>
          <w:p>
            <w:pPr>
              <w:pStyle w:val="TableContents"/>
              <w:bidi w:val="0"/>
              <w:spacing w:before="0" w:after="283"/>
              <w:jc w:val="left"/>
              <w:rPr/>
            </w:pPr>
            <w:hyperlink w:anchor="a_001">
              <w:r>
                <w:rPr>
                  <w:rStyle w:val="InternetLink"/>
                  <w:sz w:val="20"/>
                </w:rPr>
                <w:t>Unaudited Consolidated Balance Sheets as of December 31, 2025 and June 30, 2026</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F-2</w:t>
            </w:r>
          </w:p>
        </w:tc>
      </w:tr>
      <w:tr>
        <w:trPr/>
        <w:tc>
          <w:tcPr>
            <w:tcW w:w="96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pPr>
            <w:r>
              <w:rPr/>
              <w:t> </w:t>
            </w:r>
          </w:p>
        </w:tc>
      </w:tr>
      <w:tr>
        <w:trPr/>
        <w:tc>
          <w:tcPr>
            <w:tcW w:w="9690" w:type="dxa"/>
            <w:tcBorders/>
            <w:shd w:fill="CCEEFF" w:val="clear"/>
            <w:tcMar>
              <w:bottom w:w="0" w:type="dxa"/>
            </w:tcMar>
            <w:vAlign w:val="center"/>
          </w:tcPr>
          <w:p>
            <w:pPr>
              <w:pStyle w:val="TableContents"/>
              <w:bidi w:val="0"/>
              <w:spacing w:before="0" w:after="283"/>
              <w:jc w:val="left"/>
              <w:rPr/>
            </w:pPr>
            <w:hyperlink w:anchor="a_002">
              <w:r>
                <w:rPr>
                  <w:rStyle w:val="InternetLink"/>
                  <w:sz w:val="20"/>
                </w:rPr>
                <w:t>Unaudited Consolidated Statements of (Loss) Income and Comprehensive (Loss) Income for the six months ended June 30, 2025 and 2026</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F-4</w:t>
            </w:r>
          </w:p>
        </w:tc>
      </w:tr>
      <w:tr>
        <w:trPr/>
        <w:tc>
          <w:tcPr>
            <w:tcW w:w="96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pPr>
            <w:r>
              <w:rPr/>
              <w:t> </w:t>
            </w:r>
          </w:p>
        </w:tc>
      </w:tr>
      <w:tr>
        <w:trPr/>
        <w:tc>
          <w:tcPr>
            <w:tcW w:w="9690" w:type="dxa"/>
            <w:tcBorders/>
            <w:shd w:fill="CCEEFF" w:val="clear"/>
            <w:tcMar>
              <w:bottom w:w="0" w:type="dxa"/>
            </w:tcMar>
            <w:vAlign w:val="center"/>
          </w:tcPr>
          <w:p>
            <w:pPr>
              <w:pStyle w:val="TableContents"/>
              <w:bidi w:val="0"/>
              <w:spacing w:before="0" w:after="283"/>
              <w:jc w:val="left"/>
              <w:rPr/>
            </w:pPr>
            <w:hyperlink w:anchor="a_003">
              <w:r>
                <w:rPr>
                  <w:rStyle w:val="InternetLink"/>
                  <w:sz w:val="20"/>
                </w:rPr>
                <w:t>Unaudited Consolidated Statements of Changes in Shareholders’ Equity for the six months ended June 30, 2025 and 2026</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F-6</w:t>
            </w:r>
          </w:p>
        </w:tc>
      </w:tr>
      <w:tr>
        <w:trPr/>
        <w:tc>
          <w:tcPr>
            <w:tcW w:w="96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pPr>
            <w:r>
              <w:rPr/>
              <w:t> </w:t>
            </w:r>
          </w:p>
        </w:tc>
      </w:tr>
      <w:tr>
        <w:trPr/>
        <w:tc>
          <w:tcPr>
            <w:tcW w:w="9690" w:type="dxa"/>
            <w:tcBorders/>
            <w:shd w:fill="CCEEFF" w:val="clear"/>
            <w:tcMar>
              <w:bottom w:w="0" w:type="dxa"/>
            </w:tcMar>
            <w:vAlign w:val="center"/>
          </w:tcPr>
          <w:p>
            <w:pPr>
              <w:pStyle w:val="TableContents"/>
              <w:bidi w:val="0"/>
              <w:spacing w:before="0" w:after="283"/>
              <w:jc w:val="left"/>
              <w:rPr/>
            </w:pPr>
            <w:hyperlink w:anchor="a_004">
              <w:r>
                <w:rPr>
                  <w:rStyle w:val="InternetLink"/>
                  <w:sz w:val="20"/>
                </w:rPr>
                <w:t>Unaudited Consolidated Statements of Cash Flows for the six months ended June 30, 2025 and 2026</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F-7</w:t>
            </w:r>
          </w:p>
        </w:tc>
      </w:tr>
      <w:tr>
        <w:trPr/>
        <w:tc>
          <w:tcPr>
            <w:tcW w:w="96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pPr>
            <w:r>
              <w:rPr/>
              <w:t> </w:t>
            </w:r>
          </w:p>
        </w:tc>
      </w:tr>
      <w:tr>
        <w:trPr/>
        <w:tc>
          <w:tcPr>
            <w:tcW w:w="9690" w:type="dxa"/>
            <w:tcBorders/>
            <w:shd w:fill="CCEEFF" w:val="clear"/>
            <w:tcMar>
              <w:bottom w:w="0" w:type="dxa"/>
            </w:tcMar>
            <w:vAlign w:val="center"/>
          </w:tcPr>
          <w:p>
            <w:pPr>
              <w:pStyle w:val="TableContents"/>
              <w:bidi w:val="0"/>
              <w:spacing w:before="0" w:after="283"/>
              <w:jc w:val="left"/>
              <w:rPr/>
            </w:pPr>
            <w:hyperlink w:anchor="a_005">
              <w:r>
                <w:rPr>
                  <w:rStyle w:val="InternetLink"/>
                  <w:sz w:val="20"/>
                </w:rPr>
                <w:t>Notes to the Unaudited Consolidated Financial Statements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F-9</w:t>
            </w:r>
          </w:p>
        </w:tc>
      </w:tr>
    </w:tbl>
    <w:p>
      <w:pPr>
        <w:pStyle w:val="TextBody"/>
        <w:bidi w:val="0"/>
        <w:spacing w:before="0" w:after="0"/>
        <w:ind w:left="173" w:right="0" w:hanging="173"/>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6" w:name="a_001"/>
      <w:bookmarkEnd w:id="6"/>
      <w:r>
        <w:rPr>
          <w:rFonts w:ascii="Times New Roman;Times;Serif" w:hAnsi="Times New Roman;Times;Serif"/>
          <w:b w:val="false"/>
          <w:i w:val="false"/>
          <w:caps w:val="false"/>
          <w:smallCaps w:val="false"/>
          <w:sz w:val="20"/>
        </w:rPr>
        <w:t>AIFU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88"/>
        <w:gridCol w:w="60"/>
        <w:gridCol w:w="82"/>
        <w:gridCol w:w="1359"/>
        <w:gridCol w:w="60"/>
        <w:gridCol w:w="60"/>
        <w:gridCol w:w="63"/>
        <w:gridCol w:w="1037"/>
        <w:gridCol w:w="60"/>
        <w:gridCol w:w="60"/>
        <w:gridCol w:w="62"/>
        <w:gridCol w:w="837"/>
        <w:gridCol w:w="77"/>
      </w:tblGrid>
      <w:tr>
        <w:trPr/>
        <w:tc>
          <w:tcPr>
            <w:tcW w:w="63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June 30, </w:t>
              <w:br/>
              <w:t>2026</w:t>
            </w:r>
          </w:p>
        </w:tc>
        <w:tc>
          <w:tcPr>
            <w:tcW w:w="77" w:type="dxa"/>
            <w:tcBorders/>
            <w:vAlign w:val="center"/>
          </w:tcPr>
          <w:p>
            <w:pPr>
              <w:pStyle w:val="TableContents"/>
              <w:bidi w:val="0"/>
              <w:spacing w:before="0" w:after="283"/>
              <w:jc w:val="left"/>
              <w:rPr/>
            </w:pPr>
            <w:r>
              <w:rPr/>
              <w:t> </w:t>
            </w:r>
          </w:p>
        </w:tc>
      </w:tr>
      <w:tr>
        <w:trPr/>
        <w:tc>
          <w:tcPr>
            <w:tcW w:w="63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1"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9" w:type="dxa"/>
            <w:gridSpan w:val="2"/>
            <w:tcBorders/>
            <w:vAlign w:val="center"/>
          </w:tcPr>
          <w:p>
            <w:pPr>
              <w:pStyle w:val="TableContents"/>
              <w:bidi w:val="0"/>
              <w:spacing w:before="0" w:after="283"/>
              <w:jc w:val="center"/>
              <w:rPr>
                <w:b/>
              </w:rPr>
            </w:pPr>
            <w:r>
              <w:rPr>
                <w:b/>
              </w:rPr>
              <w:t>US$</w:t>
            </w:r>
          </w:p>
        </w:tc>
        <w:tc>
          <w:tcPr>
            <w:tcW w:w="77" w:type="dxa"/>
            <w:tcBorders/>
            <w:vAlign w:val="center"/>
          </w:tcPr>
          <w:p>
            <w:pPr>
              <w:pStyle w:val="TableContents"/>
              <w:bidi w:val="0"/>
              <w:spacing w:before="0" w:after="283"/>
              <w:jc w:val="left"/>
              <w:rPr/>
            </w:pPr>
            <w:r>
              <w:rPr/>
              <w:t> </w:t>
            </w:r>
          </w:p>
        </w:tc>
      </w:tr>
      <w:tr>
        <w:trPr/>
        <w:tc>
          <w:tcPr>
            <w:tcW w:w="63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1" w:type="dxa"/>
            <w:gridSpan w:val="2"/>
            <w:tcBorders/>
            <w:vAlign w:val="center"/>
          </w:tcPr>
          <w:p>
            <w:pPr>
              <w:pStyle w:val="TableContents"/>
              <w:bidi w:val="0"/>
              <w:spacing w:before="0" w:after="283"/>
              <w:jc w:val="center"/>
              <w:rPr>
                <w:b/>
              </w:rPr>
            </w:pPr>
            <w:r>
              <w:rPr>
                <w:b/>
              </w:rPr>
              <w:t>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9" w:type="dxa"/>
            <w:gridSpan w:val="2"/>
            <w:tcBorders/>
            <w:vAlign w:val="center"/>
          </w:tcPr>
          <w:p>
            <w:pPr>
              <w:pStyle w:val="TableContents"/>
              <w:bidi w:val="0"/>
              <w:spacing w:before="0" w:after="283"/>
              <w:jc w:val="center"/>
              <w:rPr>
                <w:b/>
              </w:rPr>
            </w:pPr>
            <w:r>
              <w:rPr>
                <w:b/>
              </w:rPr>
              <w:t>Note 2(v)</w:t>
            </w:r>
          </w:p>
        </w:tc>
        <w:tc>
          <w:tcPr>
            <w:tcW w:w="77" w:type="dxa"/>
            <w:tcBorders/>
            <w:vAlign w:val="center"/>
          </w:tcPr>
          <w:p>
            <w:pPr>
              <w:pStyle w:val="TableContents"/>
              <w:bidi w:val="0"/>
              <w:spacing w:before="0" w:after="283"/>
              <w:jc w:val="left"/>
              <w:rPr/>
            </w:pPr>
            <w:r>
              <w:rPr/>
              <w:t> </w:t>
            </w:r>
          </w:p>
        </w:tc>
      </w:tr>
      <w:tr>
        <w:trPr/>
        <w:tc>
          <w:tcPr>
            <w:tcW w:w="63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9" w:type="dxa"/>
            <w:gridSpan w:val="2"/>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6388"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44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9"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6388"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44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9"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180"/>
              <w:jc w:val="left"/>
              <w:rPr/>
            </w:pPr>
            <w:r>
              <w:rPr/>
              <w:t> </w:t>
            </w:r>
          </w:p>
        </w:tc>
      </w:tr>
      <w:tr>
        <w:trPr/>
        <w:tc>
          <w:tcPr>
            <w:tcW w:w="6388"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31,095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33,326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4,912</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6388" w:type="dxa"/>
            <w:tcBorders/>
            <w:vAlign w:val="center"/>
          </w:tcPr>
          <w:p>
            <w:pPr>
              <w:pStyle w:val="TableContents"/>
              <w:bidi w:val="0"/>
              <w:spacing w:before="0" w:after="283"/>
              <w:jc w:val="left"/>
              <w:rPr/>
            </w:pPr>
            <w:r>
              <w:rPr/>
              <w:t>Restricted cash</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3,102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3,679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542</w:t>
            </w:r>
          </w:p>
        </w:tc>
        <w:tc>
          <w:tcPr>
            <w:tcW w:w="77" w:type="dxa"/>
            <w:tcBorders/>
            <w:vAlign w:val="center"/>
          </w:tcPr>
          <w:p>
            <w:pPr>
              <w:pStyle w:val="TableContents"/>
              <w:bidi w:val="0"/>
              <w:spacing w:before="0" w:after="283"/>
              <w:ind w:left="0" w:right="0" w:hanging="180"/>
              <w:jc w:val="left"/>
              <w:rPr/>
            </w:pPr>
            <w:r>
              <w:rPr/>
              <w:t> </w:t>
            </w:r>
          </w:p>
        </w:tc>
      </w:tr>
      <w:tr>
        <w:trPr/>
        <w:tc>
          <w:tcPr>
            <w:tcW w:w="6388" w:type="dxa"/>
            <w:tcBorders/>
            <w:shd w:fill="CCEEFF" w:val="clear"/>
            <w:vAlign w:val="center"/>
          </w:tcPr>
          <w:p>
            <w:pPr>
              <w:pStyle w:val="TableContents"/>
              <w:bidi w:val="0"/>
              <w:spacing w:before="0" w:after="283"/>
              <w:jc w:val="left"/>
              <w:rPr/>
            </w:pPr>
            <w:r>
              <w:rPr/>
              <w:t>Securities available for sale, at fair value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2,450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51</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6388" w:type="dxa"/>
            <w:tcBorders/>
            <w:vAlign w:val="center"/>
          </w:tcPr>
          <w:p>
            <w:pPr>
              <w:pStyle w:val="TableContents"/>
              <w:bidi w:val="0"/>
              <w:spacing w:before="0" w:after="283"/>
              <w:jc w:val="left"/>
              <w:rPr/>
            </w:pPr>
            <w:r>
              <w:rPr/>
              <w:t>Equity securities, at fair value</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2,746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ind w:left="0" w:right="0" w:hanging="180"/>
              <w:jc w:val="left"/>
              <w:rPr/>
            </w:pPr>
            <w:r>
              <w:rPr/>
              <w:t> </w:t>
            </w:r>
          </w:p>
        </w:tc>
      </w:tr>
      <w:tr>
        <w:trPr/>
        <w:tc>
          <w:tcPr>
            <w:tcW w:w="6388" w:type="dxa"/>
            <w:tcBorders/>
            <w:shd w:fill="CCEEFF" w:val="clear"/>
            <w:vAlign w:val="center"/>
          </w:tcPr>
          <w:p>
            <w:pPr>
              <w:pStyle w:val="TableContents"/>
              <w:bidi w:val="0"/>
              <w:spacing w:before="0" w:after="283"/>
              <w:jc w:val="left"/>
              <w:rPr/>
            </w:pPr>
            <w:r>
              <w:rPr/>
              <w:t>Accounts receivable, net of allowances of RMB1,858 and RMB906 as of December 31, 2025 and June 30, 2026, respectively</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65,533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72,772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10,725</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6388" w:type="dxa"/>
            <w:tcBorders/>
            <w:vAlign w:val="center"/>
          </w:tcPr>
          <w:p>
            <w:pPr>
              <w:pStyle w:val="TableContents"/>
              <w:bidi w:val="0"/>
              <w:spacing w:before="0" w:after="283"/>
              <w:jc w:val="left"/>
              <w:rPr/>
            </w:pPr>
            <w:r>
              <w:rPr/>
              <w:t>Contract assets, net of allowances of RMB164 and RMB160 as of December 31, 2025 and June 30, 2026, respectively</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182,453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160,332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23,630</w:t>
            </w:r>
          </w:p>
        </w:tc>
        <w:tc>
          <w:tcPr>
            <w:tcW w:w="77" w:type="dxa"/>
            <w:tcBorders/>
            <w:vAlign w:val="center"/>
          </w:tcPr>
          <w:p>
            <w:pPr>
              <w:pStyle w:val="TableContents"/>
              <w:bidi w:val="0"/>
              <w:spacing w:before="0" w:after="283"/>
              <w:ind w:left="0" w:right="0" w:hanging="180"/>
              <w:jc w:val="left"/>
              <w:rPr/>
            </w:pPr>
            <w:r>
              <w:rPr/>
              <w:t> </w:t>
            </w:r>
          </w:p>
        </w:tc>
      </w:tr>
      <w:tr>
        <w:trPr/>
        <w:tc>
          <w:tcPr>
            <w:tcW w:w="6388" w:type="dxa"/>
            <w:tcBorders/>
            <w:shd w:fill="CCEEFF" w:val="clear"/>
            <w:vAlign w:val="center"/>
          </w:tcPr>
          <w:p>
            <w:pPr>
              <w:pStyle w:val="TableContents"/>
              <w:bidi w:val="0"/>
              <w:spacing w:before="0" w:after="283"/>
              <w:jc w:val="left"/>
              <w:rPr/>
            </w:pPr>
            <w:r>
              <w:rPr/>
              <w:t>Other receivables, net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288,339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143,232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21,110</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6388" w:type="dxa"/>
            <w:tcBorders/>
            <w:vAlign w:val="center"/>
          </w:tcPr>
          <w:p>
            <w:pPr>
              <w:pStyle w:val="TableContents"/>
              <w:bidi w:val="0"/>
              <w:spacing w:before="0" w:after="283"/>
              <w:jc w:val="left"/>
              <w:rPr/>
            </w:pPr>
            <w:r>
              <w:rPr/>
              <w:t>Inventories, net</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867,560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127,863</w:t>
            </w:r>
          </w:p>
        </w:tc>
        <w:tc>
          <w:tcPr>
            <w:tcW w:w="77" w:type="dxa"/>
            <w:tcBorders/>
            <w:vAlign w:val="center"/>
          </w:tcPr>
          <w:p>
            <w:pPr>
              <w:pStyle w:val="TableContents"/>
              <w:bidi w:val="0"/>
              <w:spacing w:before="0" w:after="283"/>
              <w:ind w:left="0" w:right="0" w:hanging="180"/>
              <w:jc w:val="left"/>
              <w:rPr/>
            </w:pPr>
            <w:r>
              <w:rPr/>
              <w:t> </w:t>
            </w:r>
          </w:p>
        </w:tc>
      </w:tr>
      <w:tr>
        <w:trPr/>
        <w:tc>
          <w:tcPr>
            <w:tcW w:w="6388" w:type="dxa"/>
            <w:tcBorders/>
            <w:shd w:fill="CCEEFF" w:val="clear"/>
            <w:vAlign w:val="center"/>
          </w:tcPr>
          <w:p>
            <w:pPr>
              <w:pStyle w:val="TableContents"/>
              <w:bidi w:val="0"/>
              <w:spacing w:before="0" w:after="283"/>
              <w:jc w:val="left"/>
              <w:rPr/>
            </w:pPr>
            <w:r>
              <w:rPr/>
              <w:t>Amounts due from a related party</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13,252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13,349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1,967</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6388" w:type="dxa"/>
            <w:tcBorders/>
            <w:vAlign w:val="center"/>
          </w:tcPr>
          <w:p>
            <w:pPr>
              <w:pStyle w:val="TableContents"/>
              <w:bidi w:val="0"/>
              <w:spacing w:before="0" w:after="283"/>
              <w:jc w:val="left"/>
              <w:rPr/>
            </w:pPr>
            <w:r>
              <w:rPr/>
              <w:t>Other current assets</w:t>
            </w:r>
          </w:p>
        </w:tc>
        <w:tc>
          <w:tcPr>
            <w:tcW w:w="60" w:type="dxa"/>
            <w:tcBorders/>
            <w:vAlign w:val="center"/>
          </w:tcPr>
          <w:p>
            <w:pPr>
              <w:pStyle w:val="TableContents"/>
              <w:bidi w:val="0"/>
              <w:spacing w:before="0" w:after="283"/>
              <w:jc w:val="left"/>
              <w:rPr/>
            </w:pPr>
            <w:r>
              <w:rPr/>
              <w:t> </w:t>
            </w:r>
          </w:p>
        </w:tc>
        <w:tc>
          <w:tcPr>
            <w:tcW w:w="82" w:type="dxa"/>
            <w:tcBorders>
              <w:bottom w:val="single" w:sz="12" w:space="0" w:color="000000"/>
            </w:tcBorders>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tcMar>
              <w:bottom w:w="28" w:type="dxa"/>
            </w:tcMar>
            <w:vAlign w:val="center"/>
          </w:tcPr>
          <w:p>
            <w:pPr>
              <w:pStyle w:val="TableContents"/>
              <w:bidi w:val="0"/>
              <w:spacing w:before="0" w:after="283"/>
              <w:jc w:val="right"/>
              <w:rPr/>
            </w:pPr>
            <w:r>
              <w:rPr/>
              <w:t>14,809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tcMar>
              <w:bottom w:w="28" w:type="dxa"/>
            </w:tcMar>
            <w:vAlign w:val="center"/>
          </w:tcPr>
          <w:p>
            <w:pPr>
              <w:pStyle w:val="TableContents"/>
              <w:bidi w:val="0"/>
              <w:spacing w:before="0" w:after="283"/>
              <w:jc w:val="right"/>
              <w:rPr/>
            </w:pPr>
            <w:r>
              <w:rPr/>
              <w:t>13,967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bottom w:val="single" w:sz="12" w:space="0" w:color="000000"/>
            </w:tcBorders>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tcMar>
              <w:bottom w:w="28" w:type="dxa"/>
            </w:tcMar>
            <w:vAlign w:val="center"/>
          </w:tcPr>
          <w:p>
            <w:pPr>
              <w:pStyle w:val="TableContents"/>
              <w:bidi w:val="0"/>
              <w:spacing w:before="0" w:after="283"/>
              <w:jc w:val="right"/>
              <w:rPr/>
            </w:pPr>
            <w:r>
              <w:rPr/>
              <w:t>2,058</w:t>
            </w:r>
          </w:p>
        </w:tc>
        <w:tc>
          <w:tcPr>
            <w:tcW w:w="77" w:type="dxa"/>
            <w:tcBorders/>
            <w:vAlign w:val="center"/>
          </w:tcPr>
          <w:p>
            <w:pPr>
              <w:pStyle w:val="TableContents"/>
              <w:bidi w:val="0"/>
              <w:spacing w:before="0" w:after="283"/>
              <w:ind w:left="0" w:right="0" w:hanging="180"/>
              <w:jc w:val="left"/>
              <w:rPr/>
            </w:pPr>
            <w:r>
              <w:rPr/>
              <w:t> </w:t>
            </w:r>
          </w:p>
        </w:tc>
      </w:tr>
      <w:tr>
        <w:trPr/>
        <w:tc>
          <w:tcPr>
            <w:tcW w:w="6388"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603,779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1,308,563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192,858</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63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ind w:left="0" w:right="0" w:hanging="180"/>
              <w:jc w:val="left"/>
              <w:rPr/>
            </w:pPr>
            <w:r>
              <w:rPr/>
              <w:t> </w:t>
            </w:r>
          </w:p>
        </w:tc>
      </w:tr>
      <w:tr>
        <w:trPr/>
        <w:tc>
          <w:tcPr>
            <w:tcW w:w="6388"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6388" w:type="dxa"/>
            <w:tcBorders/>
            <w:vAlign w:val="center"/>
          </w:tcPr>
          <w:p>
            <w:pPr>
              <w:pStyle w:val="TableContents"/>
              <w:bidi w:val="0"/>
              <w:spacing w:before="0" w:after="283"/>
              <w:jc w:val="left"/>
              <w:rPr/>
            </w:pPr>
            <w:r>
              <w:rPr/>
              <w:t>Restricted bank deposit – non-current</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16,059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15,777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2,325</w:t>
            </w:r>
          </w:p>
        </w:tc>
        <w:tc>
          <w:tcPr>
            <w:tcW w:w="77" w:type="dxa"/>
            <w:tcBorders/>
            <w:vAlign w:val="center"/>
          </w:tcPr>
          <w:p>
            <w:pPr>
              <w:pStyle w:val="TableContents"/>
              <w:bidi w:val="0"/>
              <w:spacing w:before="0" w:after="283"/>
              <w:ind w:left="0" w:right="0" w:hanging="180"/>
              <w:jc w:val="left"/>
              <w:rPr/>
            </w:pPr>
            <w:r>
              <w:rPr/>
              <w:t> </w:t>
            </w:r>
          </w:p>
        </w:tc>
      </w:tr>
      <w:tr>
        <w:trPr/>
        <w:tc>
          <w:tcPr>
            <w:tcW w:w="6388" w:type="dxa"/>
            <w:tcBorders/>
            <w:shd w:fill="CCEEFF" w:val="clear"/>
            <w:vAlign w:val="center"/>
          </w:tcPr>
          <w:p>
            <w:pPr>
              <w:pStyle w:val="TableContents"/>
              <w:bidi w:val="0"/>
              <w:spacing w:before="0" w:after="283"/>
              <w:jc w:val="left"/>
              <w:rPr/>
            </w:pPr>
            <w:r>
              <w:rPr/>
              <w:t>Contract assets - non-current, net of allowances of RMB509 and RMB520 as of December 31, 2025 and June 30, 2026, respectively</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565,418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519,695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76,594</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6388" w:type="dxa"/>
            <w:tcBorders/>
            <w:vAlign w:val="center"/>
          </w:tcPr>
          <w:p>
            <w:pPr>
              <w:pStyle w:val="TableContents"/>
              <w:bidi w:val="0"/>
              <w:spacing w:before="0" w:after="283"/>
              <w:jc w:val="left"/>
              <w:rPr/>
            </w:pPr>
            <w:r>
              <w:rPr/>
              <w:t>Property, plant, and equipment, net</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62,876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62,111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9,154</w:t>
            </w:r>
          </w:p>
        </w:tc>
        <w:tc>
          <w:tcPr>
            <w:tcW w:w="77" w:type="dxa"/>
            <w:tcBorders/>
            <w:vAlign w:val="center"/>
          </w:tcPr>
          <w:p>
            <w:pPr>
              <w:pStyle w:val="TableContents"/>
              <w:bidi w:val="0"/>
              <w:spacing w:before="0" w:after="283"/>
              <w:ind w:left="0" w:right="0" w:hanging="180"/>
              <w:jc w:val="left"/>
              <w:rPr/>
            </w:pPr>
            <w:r>
              <w:rPr/>
              <w:t> </w:t>
            </w:r>
          </w:p>
        </w:tc>
      </w:tr>
      <w:tr>
        <w:trPr/>
        <w:tc>
          <w:tcPr>
            <w:tcW w:w="6388"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8,902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12,831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1,891</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6388" w:type="dxa"/>
            <w:tcBorders/>
            <w:vAlign w:val="center"/>
          </w:tcPr>
          <w:p>
            <w:pPr>
              <w:pStyle w:val="TableContents"/>
              <w:bidi w:val="0"/>
              <w:spacing w:before="0" w:after="283"/>
              <w:jc w:val="left"/>
              <w:rPr/>
            </w:pPr>
            <w:r>
              <w:rPr/>
              <w:t>Other non-current assets</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237,475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41,662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6,140</w:t>
            </w:r>
          </w:p>
        </w:tc>
        <w:tc>
          <w:tcPr>
            <w:tcW w:w="77" w:type="dxa"/>
            <w:tcBorders/>
            <w:vAlign w:val="center"/>
          </w:tcPr>
          <w:p>
            <w:pPr>
              <w:pStyle w:val="TableContents"/>
              <w:bidi w:val="0"/>
              <w:spacing w:before="0" w:after="283"/>
              <w:ind w:left="0" w:right="0" w:hanging="180"/>
              <w:jc w:val="left"/>
              <w:rPr/>
            </w:pPr>
            <w:r>
              <w:rPr/>
              <w:t> </w:t>
            </w:r>
          </w:p>
        </w:tc>
      </w:tr>
      <w:tr>
        <w:trPr/>
        <w:tc>
          <w:tcPr>
            <w:tcW w:w="6388" w:type="dxa"/>
            <w:tcBorders/>
            <w:shd w:fill="CCEEFF" w:val="clear"/>
            <w:vAlign w:val="center"/>
          </w:tcPr>
          <w:p>
            <w:pPr>
              <w:pStyle w:val="TableContents"/>
              <w:bidi w:val="0"/>
              <w:spacing w:before="0" w:after="283"/>
              <w:jc w:val="left"/>
              <w:rPr/>
            </w:pPr>
            <w:r>
              <w:rPr/>
              <w:t>Right-of-use assets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33,589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26,183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3,859</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6388" w:type="dxa"/>
            <w:tcBorders/>
            <w:vAlign w:val="center"/>
          </w:tcPr>
          <w:p>
            <w:pPr>
              <w:pStyle w:val="TableContents"/>
              <w:bidi w:val="0"/>
              <w:spacing w:before="0" w:after="283"/>
              <w:jc w:val="left"/>
              <w:rPr>
                <w:b/>
              </w:rPr>
            </w:pPr>
            <w:r>
              <w:rPr>
                <w:b/>
              </w:rPr>
              <w:t>Total non-current assets</w:t>
            </w:r>
          </w:p>
        </w:tc>
        <w:tc>
          <w:tcPr>
            <w:tcW w:w="60" w:type="dxa"/>
            <w:tcBorders/>
            <w:vAlign w:val="center"/>
          </w:tcPr>
          <w:p>
            <w:pPr>
              <w:pStyle w:val="TableContents"/>
              <w:bidi w:val="0"/>
              <w:spacing w:before="0" w:after="283"/>
              <w:jc w:val="left"/>
              <w:rPr/>
            </w:pPr>
            <w:r>
              <w:rPr/>
              <w:t> </w:t>
            </w:r>
          </w:p>
        </w:tc>
        <w:tc>
          <w:tcPr>
            <w:tcW w:w="82" w:type="dxa"/>
            <w:tcBorders>
              <w:bottom w:val="single" w:sz="12" w:space="0" w:color="000000"/>
            </w:tcBorders>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tcMar>
              <w:bottom w:w="28" w:type="dxa"/>
            </w:tcMar>
            <w:vAlign w:val="center"/>
          </w:tcPr>
          <w:p>
            <w:pPr>
              <w:pStyle w:val="TableContents"/>
              <w:bidi w:val="0"/>
              <w:spacing w:before="0" w:after="283"/>
              <w:jc w:val="right"/>
              <w:rPr>
                <w:b/>
              </w:rPr>
            </w:pPr>
            <w:r>
              <w:rPr>
                <w:b/>
              </w:rPr>
              <w:t>924,319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tcMar>
              <w:bottom w:w="28" w:type="dxa"/>
            </w:tcMar>
            <w:vAlign w:val="center"/>
          </w:tcPr>
          <w:p>
            <w:pPr>
              <w:pStyle w:val="TableContents"/>
              <w:bidi w:val="0"/>
              <w:spacing w:before="0" w:after="283"/>
              <w:jc w:val="right"/>
              <w:rPr>
                <w:b/>
              </w:rPr>
            </w:pPr>
            <w:r>
              <w:rPr>
                <w:b/>
              </w:rPr>
              <w:t>678,259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bottom w:val="single" w:sz="12" w:space="0" w:color="000000"/>
            </w:tcBorders>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tcMar>
              <w:bottom w:w="28" w:type="dxa"/>
            </w:tcMar>
            <w:vAlign w:val="center"/>
          </w:tcPr>
          <w:p>
            <w:pPr>
              <w:pStyle w:val="TableContents"/>
              <w:bidi w:val="0"/>
              <w:spacing w:before="0" w:after="283"/>
              <w:jc w:val="right"/>
              <w:rPr>
                <w:b/>
              </w:rPr>
            </w:pPr>
            <w:r>
              <w:rPr>
                <w:b/>
              </w:rPr>
              <w:t>99,963</w:t>
            </w:r>
          </w:p>
        </w:tc>
        <w:tc>
          <w:tcPr>
            <w:tcW w:w="77" w:type="dxa"/>
            <w:tcBorders/>
            <w:vAlign w:val="center"/>
          </w:tcPr>
          <w:p>
            <w:pPr>
              <w:pStyle w:val="TableContents"/>
              <w:bidi w:val="0"/>
              <w:spacing w:before="0" w:after="283"/>
              <w:ind w:left="0" w:right="0" w:hanging="180"/>
              <w:jc w:val="left"/>
              <w:rPr/>
            </w:pPr>
            <w:r>
              <w:rPr/>
              <w:t> </w:t>
            </w:r>
          </w:p>
        </w:tc>
      </w:tr>
      <w:tr>
        <w:trPr/>
        <w:tc>
          <w:tcPr>
            <w:tcW w:w="6388"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1,528,098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1,986,822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292,821</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62"/>
        <w:gridCol w:w="60"/>
        <w:gridCol w:w="81"/>
        <w:gridCol w:w="1334"/>
        <w:gridCol w:w="95"/>
        <w:gridCol w:w="60"/>
        <w:gridCol w:w="63"/>
        <w:gridCol w:w="1037"/>
        <w:gridCol w:w="95"/>
        <w:gridCol w:w="60"/>
        <w:gridCol w:w="61"/>
        <w:gridCol w:w="814"/>
        <w:gridCol w:w="83"/>
      </w:tblGrid>
      <w:tr>
        <w:trPr/>
        <w:tc>
          <w:tcPr>
            <w:tcW w:w="63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br/>
              <w:t>June 30,</w:t>
              <w:br/>
              <w:t>2026</w:t>
            </w:r>
          </w:p>
        </w:tc>
        <w:tc>
          <w:tcPr>
            <w:tcW w:w="83" w:type="dxa"/>
            <w:tcBorders/>
            <w:vAlign w:val="center"/>
          </w:tcPr>
          <w:p>
            <w:pPr>
              <w:pStyle w:val="TableContents"/>
              <w:bidi w:val="0"/>
              <w:spacing w:before="0" w:after="283"/>
              <w:jc w:val="left"/>
              <w:rPr/>
            </w:pPr>
            <w:r>
              <w:rPr/>
              <w:t> </w:t>
            </w:r>
          </w:p>
        </w:tc>
      </w:tr>
      <w:tr>
        <w:trPr/>
        <w:tc>
          <w:tcPr>
            <w:tcW w:w="63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83" w:type="dxa"/>
            <w:tcBorders/>
            <w:vAlign w:val="center"/>
          </w:tcPr>
          <w:p>
            <w:pPr>
              <w:pStyle w:val="TableContents"/>
              <w:bidi w:val="0"/>
              <w:spacing w:before="0" w:after="283"/>
              <w:jc w:val="left"/>
              <w:rPr/>
            </w:pPr>
            <w:r>
              <w:rPr/>
              <w:t> </w:t>
            </w:r>
          </w:p>
        </w:tc>
      </w:tr>
      <w:tr>
        <w:trPr/>
        <w:tc>
          <w:tcPr>
            <w:tcW w:w="63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Note 2(v)</w:t>
            </w:r>
          </w:p>
        </w:tc>
        <w:tc>
          <w:tcPr>
            <w:tcW w:w="83" w:type="dxa"/>
            <w:tcBorders/>
            <w:vAlign w:val="center"/>
          </w:tcPr>
          <w:p>
            <w:pPr>
              <w:pStyle w:val="TableContents"/>
              <w:bidi w:val="0"/>
              <w:spacing w:before="0" w:after="283"/>
              <w:jc w:val="left"/>
              <w:rPr/>
            </w:pPr>
            <w:r>
              <w:rPr/>
              <w:t> </w:t>
            </w:r>
          </w:p>
        </w:tc>
      </w:tr>
      <w:tr>
        <w:trPr/>
        <w:tc>
          <w:tcPr>
            <w:tcW w:w="6362" w:type="dxa"/>
            <w:tcBorders/>
            <w:vAlign w:val="center"/>
          </w:tcPr>
          <w:p>
            <w:pPr>
              <w:pStyle w:val="TableContents"/>
              <w:bidi w:val="0"/>
              <w:spacing w:before="0" w:after="283"/>
              <w:jc w:val="left"/>
              <w:rPr>
                <w:b/>
              </w:rPr>
            </w:pPr>
            <w:r>
              <w:rPr>
                <w:b/>
              </w:rPr>
              <w:t>LIABILITIES AND EQUITY:</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r>
      <w:tr>
        <w:trPr/>
        <w:tc>
          <w:tcPr>
            <w:tcW w:w="6362" w:type="dxa"/>
            <w:tcBorders/>
            <w:vAlign w:val="center"/>
          </w:tcPr>
          <w:p>
            <w:pPr>
              <w:pStyle w:val="TableContents"/>
              <w:bidi w:val="0"/>
              <w:spacing w:before="0" w:after="283"/>
              <w:jc w:val="left"/>
              <w:rPr>
                <w:b/>
              </w:rPr>
            </w:pPr>
            <w:r>
              <w:rPr>
                <w:b/>
              </w:rPr>
              <w:t>Current liabilities:</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ind w:left="0" w:right="0" w:hanging="173"/>
              <w:jc w:val="left"/>
              <w:rPr/>
            </w:pPr>
            <w:r>
              <w:rPr/>
              <w:t> </w:t>
            </w:r>
          </w:p>
        </w:tc>
      </w:tr>
      <w:tr>
        <w:trPr/>
        <w:tc>
          <w:tcPr>
            <w:tcW w:w="6362" w:type="dxa"/>
            <w:tcBorders/>
            <w:shd w:fill="CCEEFF" w:val="clear"/>
            <w:vAlign w:val="center"/>
          </w:tcPr>
          <w:p>
            <w:pPr>
              <w:pStyle w:val="TableContents"/>
              <w:bidi w:val="0"/>
              <w:spacing w:before="0" w:after="283"/>
              <w:jc w:val="left"/>
              <w:rPr/>
            </w:pPr>
            <w:r>
              <w:rPr/>
              <w:t>Short-term loans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56,000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55,941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8,245</w:t>
            </w:r>
          </w:p>
        </w:tc>
        <w:tc>
          <w:tcPr>
            <w:tcW w:w="83" w:type="dxa"/>
            <w:tcBorders/>
            <w:shd w:fill="CCEEFF" w:val="clear"/>
            <w:vAlign w:val="center"/>
          </w:tcPr>
          <w:p>
            <w:pPr>
              <w:pStyle w:val="TableContents"/>
              <w:bidi w:val="0"/>
              <w:spacing w:before="0" w:after="283"/>
              <w:ind w:left="0" w:right="0" w:hanging="173"/>
              <w:jc w:val="left"/>
              <w:rPr/>
            </w:pPr>
            <w:r>
              <w:rPr/>
              <w:t> </w:t>
            </w:r>
          </w:p>
        </w:tc>
      </w:tr>
      <w:tr>
        <w:trPr/>
        <w:tc>
          <w:tcPr>
            <w:tcW w:w="6362" w:type="dxa"/>
            <w:tcBorders/>
            <w:vAlign w:val="center"/>
          </w:tcPr>
          <w:p>
            <w:pPr>
              <w:pStyle w:val="TableContents"/>
              <w:bidi w:val="0"/>
              <w:spacing w:before="0" w:after="283"/>
              <w:jc w:val="left"/>
              <w:rPr/>
            </w:pPr>
            <w:r>
              <w:rPr/>
              <w:t>Accounts payable</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81,089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71,426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10,527</w:t>
            </w:r>
          </w:p>
        </w:tc>
        <w:tc>
          <w:tcPr>
            <w:tcW w:w="83" w:type="dxa"/>
            <w:tcBorders/>
            <w:vAlign w:val="center"/>
          </w:tcPr>
          <w:p>
            <w:pPr>
              <w:pStyle w:val="TableContents"/>
              <w:bidi w:val="0"/>
              <w:spacing w:before="0" w:after="283"/>
              <w:ind w:left="0" w:right="0" w:hanging="180"/>
              <w:jc w:val="left"/>
              <w:rPr/>
            </w:pPr>
            <w:r>
              <w:rPr/>
              <w:t> </w:t>
            </w:r>
          </w:p>
        </w:tc>
      </w:tr>
      <w:tr>
        <w:trPr/>
        <w:tc>
          <w:tcPr>
            <w:tcW w:w="6362" w:type="dxa"/>
            <w:tcBorders/>
            <w:shd w:fill="CCEEFF" w:val="clear"/>
            <w:vAlign w:val="center"/>
          </w:tcPr>
          <w:p>
            <w:pPr>
              <w:pStyle w:val="TableContents"/>
              <w:bidi w:val="0"/>
              <w:spacing w:before="0" w:after="283"/>
              <w:jc w:val="left"/>
              <w:rPr/>
            </w:pPr>
            <w:r>
              <w:rPr/>
              <w:t>Accrued commissions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90,076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76,769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11,314</w:t>
            </w:r>
          </w:p>
        </w:tc>
        <w:tc>
          <w:tcPr>
            <w:tcW w:w="83" w:type="dxa"/>
            <w:tcBorders/>
            <w:shd w:fill="CCEEFF" w:val="clear"/>
            <w:vAlign w:val="center"/>
          </w:tcPr>
          <w:p>
            <w:pPr>
              <w:pStyle w:val="TableContents"/>
              <w:bidi w:val="0"/>
              <w:spacing w:before="0" w:after="283"/>
              <w:ind w:left="0" w:right="0" w:hanging="173"/>
              <w:jc w:val="left"/>
              <w:rPr/>
            </w:pPr>
            <w:r>
              <w:rPr/>
              <w:t> </w:t>
            </w:r>
          </w:p>
        </w:tc>
      </w:tr>
      <w:tr>
        <w:trPr/>
        <w:tc>
          <w:tcPr>
            <w:tcW w:w="6362" w:type="dxa"/>
            <w:tcBorders/>
            <w:vAlign w:val="center"/>
          </w:tcPr>
          <w:p>
            <w:pPr>
              <w:pStyle w:val="TableContents"/>
              <w:bidi w:val="0"/>
              <w:spacing w:before="0" w:after="283"/>
              <w:jc w:val="left"/>
              <w:rPr/>
            </w:pPr>
            <w:r>
              <w:rPr/>
              <w:t>Insurance premium payables</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1</w:t>
            </w:r>
          </w:p>
        </w:tc>
        <w:tc>
          <w:tcPr>
            <w:tcW w:w="83" w:type="dxa"/>
            <w:tcBorders/>
            <w:vAlign w:val="center"/>
          </w:tcPr>
          <w:p>
            <w:pPr>
              <w:pStyle w:val="TableContents"/>
              <w:bidi w:val="0"/>
              <w:spacing w:before="0" w:after="283"/>
              <w:ind w:left="0" w:right="0" w:hanging="173"/>
              <w:jc w:val="left"/>
              <w:rPr/>
            </w:pPr>
            <w:r>
              <w:rPr/>
              <w:t> </w:t>
            </w:r>
          </w:p>
        </w:tc>
      </w:tr>
      <w:tr>
        <w:trPr/>
        <w:tc>
          <w:tcPr>
            <w:tcW w:w="6362" w:type="dxa"/>
            <w:tcBorders/>
            <w:shd w:fill="CCEEFF" w:val="clear"/>
            <w:vAlign w:val="center"/>
          </w:tcPr>
          <w:p>
            <w:pPr>
              <w:pStyle w:val="TableContents"/>
              <w:bidi w:val="0"/>
              <w:spacing w:before="0" w:after="283"/>
              <w:jc w:val="left"/>
              <w:rPr/>
            </w:pPr>
            <w:r>
              <w:rPr/>
              <w:t>Other payables and accrued expenses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184,722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138,837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20,462</w:t>
            </w:r>
          </w:p>
        </w:tc>
        <w:tc>
          <w:tcPr>
            <w:tcW w:w="83" w:type="dxa"/>
            <w:tcBorders/>
            <w:shd w:fill="CCEEFF" w:val="clear"/>
            <w:vAlign w:val="center"/>
          </w:tcPr>
          <w:p>
            <w:pPr>
              <w:pStyle w:val="TableContents"/>
              <w:bidi w:val="0"/>
              <w:spacing w:before="0" w:after="283"/>
              <w:ind w:left="0" w:right="0" w:hanging="173"/>
              <w:jc w:val="left"/>
              <w:rPr/>
            </w:pPr>
            <w:r>
              <w:rPr/>
              <w:t> </w:t>
            </w:r>
          </w:p>
        </w:tc>
      </w:tr>
      <w:tr>
        <w:trPr/>
        <w:tc>
          <w:tcPr>
            <w:tcW w:w="6362" w:type="dxa"/>
            <w:tcBorders/>
            <w:vAlign w:val="center"/>
          </w:tcPr>
          <w:p>
            <w:pPr>
              <w:pStyle w:val="TableContents"/>
              <w:bidi w:val="0"/>
              <w:spacing w:before="0" w:after="283"/>
              <w:jc w:val="left"/>
              <w:rPr/>
            </w:pPr>
            <w:r>
              <w:rPr/>
              <w:t>Accrued payroll</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17,940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11,803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1,740</w:t>
            </w:r>
          </w:p>
        </w:tc>
        <w:tc>
          <w:tcPr>
            <w:tcW w:w="83" w:type="dxa"/>
            <w:tcBorders/>
            <w:vAlign w:val="center"/>
          </w:tcPr>
          <w:p>
            <w:pPr>
              <w:pStyle w:val="TableContents"/>
              <w:bidi w:val="0"/>
              <w:spacing w:before="0" w:after="283"/>
              <w:ind w:left="0" w:right="0" w:hanging="173"/>
              <w:jc w:val="left"/>
              <w:rPr/>
            </w:pPr>
            <w:r>
              <w:rPr/>
              <w:t> </w:t>
            </w:r>
          </w:p>
        </w:tc>
      </w:tr>
      <w:tr>
        <w:trPr/>
        <w:tc>
          <w:tcPr>
            <w:tcW w:w="6362" w:type="dxa"/>
            <w:tcBorders/>
            <w:shd w:fill="CCEEFF" w:val="clear"/>
            <w:vAlign w:val="center"/>
          </w:tcPr>
          <w:p>
            <w:pPr>
              <w:pStyle w:val="TableContents"/>
              <w:bidi w:val="0"/>
              <w:spacing w:before="0" w:after="283"/>
              <w:jc w:val="left"/>
              <w:rPr/>
            </w:pPr>
            <w:r>
              <w:rPr/>
              <w:t>Income taxes payable</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67,020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75,509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11,129</w:t>
            </w:r>
          </w:p>
        </w:tc>
        <w:tc>
          <w:tcPr>
            <w:tcW w:w="83" w:type="dxa"/>
            <w:tcBorders/>
            <w:shd w:fill="CCEEFF" w:val="clear"/>
            <w:vAlign w:val="center"/>
          </w:tcPr>
          <w:p>
            <w:pPr>
              <w:pStyle w:val="TableContents"/>
              <w:bidi w:val="0"/>
              <w:spacing w:before="0" w:after="283"/>
              <w:ind w:left="0" w:right="0" w:hanging="173"/>
              <w:jc w:val="left"/>
              <w:rPr/>
            </w:pPr>
            <w:r>
              <w:rPr/>
              <w:t> </w:t>
            </w:r>
          </w:p>
        </w:tc>
      </w:tr>
      <w:tr>
        <w:trPr/>
        <w:tc>
          <w:tcPr>
            <w:tcW w:w="6362" w:type="dxa"/>
            <w:tcBorders/>
            <w:vAlign w:val="center"/>
          </w:tcPr>
          <w:p>
            <w:pPr>
              <w:pStyle w:val="TableContents"/>
              <w:bidi w:val="0"/>
              <w:spacing w:before="0" w:after="283"/>
              <w:jc w:val="left"/>
              <w:rPr/>
            </w:pPr>
            <w:r>
              <w:rPr/>
              <w:t>Operating lease liabilities</w:t>
            </w:r>
          </w:p>
        </w:tc>
        <w:tc>
          <w:tcPr>
            <w:tcW w:w="60" w:type="dxa"/>
            <w:tcBorders/>
            <w:vAlign w:val="center"/>
          </w:tcPr>
          <w:p>
            <w:pPr>
              <w:pStyle w:val="TableContents"/>
              <w:bidi w:val="0"/>
              <w:spacing w:before="0" w:after="283"/>
              <w:jc w:val="left"/>
              <w:rPr/>
            </w:pPr>
            <w:r>
              <w:rPr/>
              <w:t> </w:t>
            </w:r>
          </w:p>
        </w:tc>
        <w:tc>
          <w:tcPr>
            <w:tcW w:w="81" w:type="dxa"/>
            <w:tcBorders>
              <w:bottom w:val="single" w:sz="12" w:space="0" w:color="000000"/>
            </w:tcBorders>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tcMar>
              <w:bottom w:w="28" w:type="dxa"/>
            </w:tcMar>
            <w:vAlign w:val="center"/>
          </w:tcPr>
          <w:p>
            <w:pPr>
              <w:pStyle w:val="TableContents"/>
              <w:bidi w:val="0"/>
              <w:spacing w:before="0" w:after="283"/>
              <w:jc w:val="right"/>
              <w:rPr/>
            </w:pPr>
            <w:r>
              <w:rPr/>
              <w:t>15,308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tcMar>
              <w:bottom w:w="28" w:type="dxa"/>
            </w:tcMar>
            <w:vAlign w:val="center"/>
          </w:tcPr>
          <w:p>
            <w:pPr>
              <w:pStyle w:val="TableContents"/>
              <w:bidi w:val="0"/>
              <w:spacing w:before="0" w:after="283"/>
              <w:jc w:val="right"/>
              <w:rPr/>
            </w:pPr>
            <w:r>
              <w:rPr/>
              <w:t>12,217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bottom w:val="single" w:sz="12" w:space="0" w:color="000000"/>
            </w:tcBorders>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tcMar>
              <w:bottom w:w="28" w:type="dxa"/>
            </w:tcMar>
            <w:vAlign w:val="center"/>
          </w:tcPr>
          <w:p>
            <w:pPr>
              <w:pStyle w:val="TableContents"/>
              <w:bidi w:val="0"/>
              <w:spacing w:before="0" w:after="283"/>
              <w:jc w:val="right"/>
              <w:rPr/>
            </w:pPr>
            <w:r>
              <w:rPr/>
              <w:t>1,801</w:t>
            </w:r>
          </w:p>
        </w:tc>
        <w:tc>
          <w:tcPr>
            <w:tcW w:w="83" w:type="dxa"/>
            <w:tcBorders/>
            <w:vAlign w:val="center"/>
          </w:tcPr>
          <w:p>
            <w:pPr>
              <w:pStyle w:val="TableContents"/>
              <w:bidi w:val="0"/>
              <w:spacing w:before="0" w:after="283"/>
              <w:ind w:left="0" w:right="0" w:hanging="173"/>
              <w:jc w:val="left"/>
              <w:rPr/>
            </w:pPr>
            <w:r>
              <w:rPr/>
              <w:t> </w:t>
            </w:r>
          </w:p>
        </w:tc>
      </w:tr>
      <w:tr>
        <w:trPr/>
        <w:tc>
          <w:tcPr>
            <w:tcW w:w="6362"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512,161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442,508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65,219</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362" w:type="dxa"/>
            <w:tcBorders/>
            <w:vAlign w:val="center"/>
          </w:tcPr>
          <w:p>
            <w:pPr>
              <w:pStyle w:val="TableContents"/>
              <w:bidi w:val="0"/>
              <w:spacing w:before="0" w:after="283"/>
              <w:jc w:val="left"/>
              <w:rPr>
                <w:b/>
              </w:rPr>
            </w:pPr>
            <w:r>
              <w:rPr>
                <w:b/>
              </w:rPr>
              <w:t>Non-current liabilities:</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ind w:left="0" w:right="0" w:hanging="180"/>
              <w:jc w:val="left"/>
              <w:rPr/>
            </w:pPr>
            <w:r>
              <w:rPr/>
              <w:t> </w:t>
            </w:r>
          </w:p>
        </w:tc>
      </w:tr>
      <w:tr>
        <w:trPr/>
        <w:tc>
          <w:tcPr>
            <w:tcW w:w="6362" w:type="dxa"/>
            <w:tcBorders/>
            <w:shd w:fill="CCEEFF" w:val="clear"/>
            <w:vAlign w:val="center"/>
          </w:tcPr>
          <w:p>
            <w:pPr>
              <w:pStyle w:val="TableContents"/>
              <w:bidi w:val="0"/>
              <w:spacing w:before="0" w:after="283"/>
              <w:jc w:val="left"/>
              <w:rPr/>
            </w:pPr>
            <w:r>
              <w:rPr/>
              <w:t>Accrued commissions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316,419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289,604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42,681</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362" w:type="dxa"/>
            <w:tcBorders/>
            <w:vAlign w:val="center"/>
          </w:tcPr>
          <w:p>
            <w:pPr>
              <w:pStyle w:val="TableContents"/>
              <w:bidi w:val="0"/>
              <w:spacing w:before="0" w:after="283"/>
              <w:jc w:val="left"/>
              <w:rPr/>
            </w:pPr>
            <w:r>
              <w:rPr/>
              <w:t>Tax liabilities</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25,701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25,701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3,788</w:t>
            </w:r>
          </w:p>
        </w:tc>
        <w:tc>
          <w:tcPr>
            <w:tcW w:w="83" w:type="dxa"/>
            <w:tcBorders/>
            <w:vAlign w:val="center"/>
          </w:tcPr>
          <w:p>
            <w:pPr>
              <w:pStyle w:val="TableContents"/>
              <w:bidi w:val="0"/>
              <w:spacing w:before="0" w:after="283"/>
              <w:ind w:left="0" w:right="0" w:hanging="180"/>
              <w:jc w:val="left"/>
              <w:rPr/>
            </w:pPr>
            <w:r>
              <w:rPr/>
              <w:t> </w:t>
            </w:r>
          </w:p>
        </w:tc>
      </w:tr>
      <w:tr>
        <w:trPr/>
        <w:tc>
          <w:tcPr>
            <w:tcW w:w="6362"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187,218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181,055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26,683</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362" w:type="dxa"/>
            <w:tcBorders/>
            <w:vAlign w:val="center"/>
          </w:tcPr>
          <w:p>
            <w:pPr>
              <w:pStyle w:val="TableContents"/>
              <w:bidi w:val="0"/>
              <w:spacing w:before="0" w:after="283"/>
              <w:jc w:val="left"/>
              <w:rPr/>
            </w:pPr>
            <w:r>
              <w:rPr/>
              <w:t>Operating lease liabilities</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15,463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11,628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1,714</w:t>
            </w:r>
          </w:p>
        </w:tc>
        <w:tc>
          <w:tcPr>
            <w:tcW w:w="83" w:type="dxa"/>
            <w:tcBorders/>
            <w:vAlign w:val="center"/>
          </w:tcPr>
          <w:p>
            <w:pPr>
              <w:pStyle w:val="TableContents"/>
              <w:bidi w:val="0"/>
              <w:spacing w:before="0" w:after="283"/>
              <w:ind w:left="0" w:right="0" w:hanging="180"/>
              <w:jc w:val="left"/>
              <w:rPr/>
            </w:pPr>
            <w:r>
              <w:rPr/>
              <w:t> </w:t>
            </w:r>
          </w:p>
        </w:tc>
      </w:tr>
      <w:tr>
        <w:trPr/>
        <w:tc>
          <w:tcPr>
            <w:tcW w:w="6362"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544,801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507,988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74,866</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362" w:type="dxa"/>
            <w:tcBorders/>
            <w:vAlign w:val="center"/>
          </w:tcPr>
          <w:p>
            <w:pPr>
              <w:pStyle w:val="TableContents"/>
              <w:bidi w:val="0"/>
              <w:spacing w:before="0" w:after="283"/>
              <w:jc w:val="left"/>
              <w:rPr>
                <w:b/>
              </w:rPr>
            </w:pPr>
            <w:r>
              <w:rPr>
                <w:b/>
              </w:rPr>
              <w:t>Total liabilities</w:t>
            </w:r>
          </w:p>
        </w:tc>
        <w:tc>
          <w:tcPr>
            <w:tcW w:w="60" w:type="dxa"/>
            <w:tcBorders/>
            <w:vAlign w:val="center"/>
          </w:tcPr>
          <w:p>
            <w:pPr>
              <w:pStyle w:val="TableContents"/>
              <w:bidi w:val="0"/>
              <w:spacing w:before="0" w:after="283"/>
              <w:jc w:val="left"/>
              <w:rPr/>
            </w:pPr>
            <w:r>
              <w:rPr/>
              <w:t> </w:t>
            </w:r>
          </w:p>
        </w:tc>
        <w:tc>
          <w:tcPr>
            <w:tcW w:w="81" w:type="dxa"/>
            <w:tcBorders>
              <w:bottom w:val="single" w:sz="12" w:space="0" w:color="000000"/>
            </w:tcBorders>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tcMar>
              <w:bottom w:w="28" w:type="dxa"/>
            </w:tcMar>
            <w:vAlign w:val="center"/>
          </w:tcPr>
          <w:p>
            <w:pPr>
              <w:pStyle w:val="TableContents"/>
              <w:bidi w:val="0"/>
              <w:spacing w:before="0" w:after="283"/>
              <w:jc w:val="right"/>
              <w:rPr>
                <w:b/>
              </w:rPr>
            </w:pPr>
            <w:r>
              <w:rPr>
                <w:b/>
              </w:rPr>
              <w:t>1,056,962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tcMar>
              <w:bottom w:w="28" w:type="dxa"/>
            </w:tcMar>
            <w:vAlign w:val="center"/>
          </w:tcPr>
          <w:p>
            <w:pPr>
              <w:pStyle w:val="TableContents"/>
              <w:bidi w:val="0"/>
              <w:spacing w:before="0" w:after="283"/>
              <w:jc w:val="right"/>
              <w:rPr>
                <w:b/>
              </w:rPr>
            </w:pPr>
            <w:r>
              <w:rPr>
                <w:b/>
              </w:rPr>
              <w:t>950,496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bottom w:val="single" w:sz="12" w:space="0" w:color="000000"/>
            </w:tcBorders>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tcMar>
              <w:bottom w:w="28" w:type="dxa"/>
            </w:tcMar>
            <w:vAlign w:val="center"/>
          </w:tcPr>
          <w:p>
            <w:pPr>
              <w:pStyle w:val="TableContents"/>
              <w:bidi w:val="0"/>
              <w:spacing w:before="0" w:after="283"/>
              <w:jc w:val="right"/>
              <w:rPr>
                <w:b/>
              </w:rPr>
            </w:pPr>
            <w:r>
              <w:rPr>
                <w:b/>
              </w:rPr>
              <w:t>140,085</w:t>
            </w:r>
          </w:p>
        </w:tc>
        <w:tc>
          <w:tcPr>
            <w:tcW w:w="83" w:type="dxa"/>
            <w:tcBorders/>
            <w:vAlign w:val="center"/>
          </w:tcPr>
          <w:p>
            <w:pPr>
              <w:pStyle w:val="TableContents"/>
              <w:bidi w:val="0"/>
              <w:spacing w:before="0" w:after="283"/>
              <w:ind w:left="0" w:right="0" w:hanging="180"/>
              <w:jc w:val="left"/>
              <w:rPr/>
            </w:pPr>
            <w:r>
              <w:rPr/>
              <w:t> </w:t>
            </w:r>
          </w:p>
        </w:tc>
      </w:tr>
      <w:tr>
        <w:trPr/>
        <w:tc>
          <w:tcPr>
            <w:tcW w:w="6362"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362" w:type="dxa"/>
            <w:tcBorders/>
            <w:vAlign w:val="center"/>
          </w:tcPr>
          <w:p>
            <w:pPr>
              <w:pStyle w:val="TableContents"/>
              <w:bidi w:val="0"/>
              <w:spacing w:before="0" w:after="283"/>
              <w:jc w:val="left"/>
              <w:rPr>
                <w:b/>
              </w:rPr>
            </w:pPr>
            <w:r>
              <w:rPr>
                <w:b/>
              </w:rPr>
              <w:t>Shareholders’ Equity:</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ind w:left="0" w:right="0" w:hanging="180"/>
              <w:jc w:val="left"/>
              <w:rPr/>
            </w:pPr>
            <w:r>
              <w:rPr/>
              <w:t> </w:t>
            </w:r>
          </w:p>
        </w:tc>
      </w:tr>
      <w:tr>
        <w:trPr/>
        <w:tc>
          <w:tcPr>
            <w:tcW w:w="6362" w:type="dxa"/>
            <w:tcBorders/>
            <w:shd w:fill="CCEEFF" w:val="clear"/>
            <w:vAlign w:val="center"/>
          </w:tcPr>
          <w:p>
            <w:pPr>
              <w:pStyle w:val="TableContents"/>
              <w:bidi w:val="0"/>
              <w:spacing w:before="0" w:after="283"/>
              <w:jc w:val="left"/>
              <w:rPr/>
            </w:pPr>
            <w:r>
              <w:rPr/>
              <w:t>Class A Ordinary shares (US$0.4 par value, 8,000,000,000 shares authorized, 671,764 shares issued and 671,764 shares outstanding as of December 31, 2025; US$0.002 par value, 8,000,000,000 shares authorized, 5,925,748 shares issued and 5,925,748 shares outstanding as of June 30, 2026)*</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38,877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11</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362" w:type="dxa"/>
            <w:tcBorders/>
            <w:vAlign w:val="center"/>
          </w:tcPr>
          <w:p>
            <w:pPr>
              <w:pStyle w:val="TableContents"/>
              <w:bidi w:val="0"/>
              <w:spacing w:before="0" w:after="283"/>
              <w:jc w:val="left"/>
              <w:rPr/>
            </w:pPr>
            <w:r>
              <w:rPr/>
              <w:t>Class B Ordinary shares (US$0.4 par value, 2,000,000,000 shares authorized, 375,000 shares issued and 375,000 shares as of December 31, 2025; US$0.002 par value, 2,000,000,000 shares authorized, 250,000 shares issued and 250,000 shares outstanding as of June 30, 2026)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21,373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1</w:t>
            </w:r>
          </w:p>
        </w:tc>
        <w:tc>
          <w:tcPr>
            <w:tcW w:w="83" w:type="dxa"/>
            <w:tcBorders/>
            <w:vAlign w:val="center"/>
          </w:tcPr>
          <w:p>
            <w:pPr>
              <w:pStyle w:val="TableContents"/>
              <w:bidi w:val="0"/>
              <w:spacing w:before="0" w:after="283"/>
              <w:ind w:left="0" w:right="0" w:hanging="180"/>
              <w:jc w:val="left"/>
              <w:rPr/>
            </w:pPr>
            <w:r>
              <w:rPr/>
              <w:t> </w:t>
            </w:r>
          </w:p>
        </w:tc>
      </w:tr>
      <w:tr>
        <w:trPr/>
        <w:tc>
          <w:tcPr>
            <w:tcW w:w="6362"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401,928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1,177,809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173,588</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362" w:type="dxa"/>
            <w:tcBorders/>
            <w:vAlign w:val="center"/>
          </w:tcPr>
          <w:p>
            <w:pPr>
              <w:pStyle w:val="TableContents"/>
              <w:bidi w:val="0"/>
              <w:spacing w:before="0" w:after="283"/>
              <w:jc w:val="left"/>
              <w:rPr/>
            </w:pPr>
            <w:r>
              <w:rPr/>
              <w:t>Statutory reserves</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343,026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343,026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50,556</w:t>
            </w:r>
          </w:p>
        </w:tc>
        <w:tc>
          <w:tcPr>
            <w:tcW w:w="83" w:type="dxa"/>
            <w:tcBorders/>
            <w:vAlign w:val="center"/>
          </w:tcPr>
          <w:p>
            <w:pPr>
              <w:pStyle w:val="TableContents"/>
              <w:bidi w:val="0"/>
              <w:spacing w:before="0" w:after="283"/>
              <w:ind w:left="0" w:right="0" w:hanging="180"/>
              <w:jc w:val="left"/>
              <w:rPr/>
            </w:pPr>
            <w:r>
              <w:rPr/>
              <w:t> </w:t>
            </w:r>
          </w:p>
        </w:tc>
      </w:tr>
      <w:tr>
        <w:trPr/>
        <w:tc>
          <w:tcPr>
            <w:tcW w:w="6362"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(235,471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(70,418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(10,378</w:t>
            </w:r>
          </w:p>
        </w:tc>
        <w:tc>
          <w:tcPr>
            <w:tcW w:w="83" w:type="dxa"/>
            <w:tcBorders/>
            <w:shd w:fill="CCEEFF" w:val="clear"/>
            <w:vAlign w:val="center"/>
          </w:tcPr>
          <w:p>
            <w:pPr>
              <w:pStyle w:val="TableContents"/>
              <w:bidi w:val="0"/>
              <w:spacing w:before="0" w:after="283"/>
              <w:ind w:left="0" w:right="0" w:hanging="180"/>
              <w:jc w:val="left"/>
              <w:rPr/>
            </w:pPr>
            <w:r>
              <w:rPr/>
              <w:t>)</w:t>
            </w:r>
          </w:p>
        </w:tc>
      </w:tr>
      <w:tr>
        <w:trPr/>
        <w:tc>
          <w:tcPr>
            <w:tcW w:w="6362" w:type="dxa"/>
            <w:tcBorders/>
            <w:vAlign w:val="center"/>
          </w:tcPr>
          <w:p>
            <w:pPr>
              <w:pStyle w:val="TableContents"/>
              <w:bidi w:val="0"/>
              <w:spacing w:before="0" w:after="283"/>
              <w:jc w:val="left"/>
              <w:rPr/>
            </w:pPr>
            <w:r>
              <w:rPr/>
              <w:t>Accumulated other comprehensive loss</w:t>
            </w:r>
          </w:p>
        </w:tc>
        <w:tc>
          <w:tcPr>
            <w:tcW w:w="60" w:type="dxa"/>
            <w:tcBorders/>
            <w:vAlign w:val="center"/>
          </w:tcPr>
          <w:p>
            <w:pPr>
              <w:pStyle w:val="TableContents"/>
              <w:bidi w:val="0"/>
              <w:spacing w:before="0" w:after="283"/>
              <w:jc w:val="left"/>
              <w:rPr/>
            </w:pPr>
            <w:r>
              <w:rPr/>
              <w:t> </w:t>
            </w:r>
          </w:p>
        </w:tc>
        <w:tc>
          <w:tcPr>
            <w:tcW w:w="81" w:type="dxa"/>
            <w:tcBorders>
              <w:bottom w:val="single" w:sz="12" w:space="0" w:color="000000"/>
            </w:tcBorders>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tcMar>
              <w:bottom w:w="28" w:type="dxa"/>
            </w:tcMar>
            <w:vAlign w:val="center"/>
          </w:tcPr>
          <w:p>
            <w:pPr>
              <w:pStyle w:val="TableContents"/>
              <w:bidi w:val="0"/>
              <w:spacing w:before="0" w:after="283"/>
              <w:jc w:val="right"/>
              <w:rPr/>
            </w:pPr>
            <w:r>
              <w:rPr/>
              <w:t>(91,213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tcMar>
              <w:bottom w:w="28" w:type="dxa"/>
            </w:tcMar>
            <w:vAlign w:val="center"/>
          </w:tcPr>
          <w:p>
            <w:pPr>
              <w:pStyle w:val="TableContents"/>
              <w:bidi w:val="0"/>
              <w:spacing w:before="0" w:after="283"/>
              <w:jc w:val="right"/>
              <w:rPr/>
            </w:pPr>
            <w:r>
              <w:rPr/>
              <w:t>(406,582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 w:type="dxa"/>
            <w:tcBorders>
              <w:bottom w:val="single" w:sz="12" w:space="0" w:color="000000"/>
            </w:tcBorders>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tcMar>
              <w:bottom w:w="28" w:type="dxa"/>
            </w:tcMar>
            <w:vAlign w:val="center"/>
          </w:tcPr>
          <w:p>
            <w:pPr>
              <w:pStyle w:val="TableContents"/>
              <w:bidi w:val="0"/>
              <w:spacing w:before="0" w:after="283"/>
              <w:jc w:val="right"/>
              <w:rPr/>
            </w:pPr>
            <w:r>
              <w:rPr/>
              <w:t>(59,923</w:t>
            </w:r>
          </w:p>
        </w:tc>
        <w:tc>
          <w:tcPr>
            <w:tcW w:w="83" w:type="dxa"/>
            <w:tcBorders/>
            <w:vAlign w:val="center"/>
          </w:tcPr>
          <w:p>
            <w:pPr>
              <w:pStyle w:val="TableContents"/>
              <w:bidi w:val="0"/>
              <w:spacing w:before="0" w:after="283"/>
              <w:ind w:left="0" w:right="0" w:hanging="180"/>
              <w:jc w:val="left"/>
              <w:rPr/>
            </w:pPr>
            <w:r>
              <w:rPr/>
              <w:t>)</w:t>
            </w:r>
          </w:p>
        </w:tc>
      </w:tr>
      <w:tr>
        <w:trPr/>
        <w:tc>
          <w:tcPr>
            <w:tcW w:w="6362" w:type="dxa"/>
            <w:tcBorders/>
            <w:shd w:fill="CCEEFF" w:val="clear"/>
            <w:vAlign w:val="center"/>
          </w:tcPr>
          <w:p>
            <w:pPr>
              <w:pStyle w:val="TableContents"/>
              <w:bidi w:val="0"/>
              <w:spacing w:before="0" w:after="283"/>
              <w:jc w:val="left"/>
              <w:rPr>
                <w:b/>
              </w:rPr>
            </w:pPr>
            <w:r>
              <w:rPr>
                <w:b/>
              </w:rPr>
              <w:t>Total AIFU INC. shareholders’ equity</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478,520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1,043,917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153,855</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362" w:type="dxa"/>
            <w:tcBorders/>
            <w:vAlign w:val="center"/>
          </w:tcPr>
          <w:p>
            <w:pPr>
              <w:pStyle w:val="TableContents"/>
              <w:bidi w:val="0"/>
              <w:spacing w:before="0" w:after="283"/>
              <w:jc w:val="left"/>
              <w:rPr>
                <w:b/>
              </w:rPr>
            </w:pPr>
            <w:r>
              <w:rPr>
                <w:b/>
              </w:rPr>
              <w:t>Non-controlling interests</w:t>
            </w:r>
          </w:p>
        </w:tc>
        <w:tc>
          <w:tcPr>
            <w:tcW w:w="60" w:type="dxa"/>
            <w:tcBorders/>
            <w:vAlign w:val="center"/>
          </w:tcPr>
          <w:p>
            <w:pPr>
              <w:pStyle w:val="TableContents"/>
              <w:bidi w:val="0"/>
              <w:spacing w:before="0" w:after="283"/>
              <w:jc w:val="left"/>
              <w:rPr/>
            </w:pPr>
            <w:r>
              <w:rPr/>
              <w:t> </w:t>
            </w:r>
          </w:p>
        </w:tc>
        <w:tc>
          <w:tcPr>
            <w:tcW w:w="81" w:type="dxa"/>
            <w:tcBorders>
              <w:bottom w:val="single" w:sz="12" w:space="0" w:color="000000"/>
            </w:tcBorders>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tcMar>
              <w:bottom w:w="28" w:type="dxa"/>
            </w:tcMar>
            <w:vAlign w:val="center"/>
          </w:tcPr>
          <w:p>
            <w:pPr>
              <w:pStyle w:val="TableContents"/>
              <w:bidi w:val="0"/>
              <w:spacing w:before="0" w:after="283"/>
              <w:jc w:val="right"/>
              <w:rPr>
                <w:b/>
              </w:rPr>
            </w:pPr>
            <w:r>
              <w:rPr>
                <w:b/>
              </w:rPr>
              <w:t>(7,384</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6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tcMar>
              <w:bottom w:w="28" w:type="dxa"/>
            </w:tcMar>
            <w:vAlign w:val="center"/>
          </w:tcPr>
          <w:p>
            <w:pPr>
              <w:pStyle w:val="TableContents"/>
              <w:bidi w:val="0"/>
              <w:spacing w:before="0" w:after="283"/>
              <w:jc w:val="right"/>
              <w:rPr>
                <w:b/>
              </w:rPr>
            </w:pPr>
            <w:r>
              <w:rPr>
                <w:b/>
              </w:rPr>
              <w:t>(7,591</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61" w:type="dxa"/>
            <w:tcBorders>
              <w:bottom w:val="single" w:sz="12" w:space="0" w:color="000000"/>
            </w:tcBorders>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tcMar>
              <w:bottom w:w="28" w:type="dxa"/>
            </w:tcMar>
            <w:vAlign w:val="center"/>
          </w:tcPr>
          <w:p>
            <w:pPr>
              <w:pStyle w:val="TableContents"/>
              <w:bidi w:val="0"/>
              <w:spacing w:before="0" w:after="283"/>
              <w:jc w:val="right"/>
              <w:rPr>
                <w:b/>
              </w:rPr>
            </w:pPr>
            <w:r>
              <w:rPr>
                <w:b/>
              </w:rPr>
              <w:t>(1,119</w:t>
            </w:r>
          </w:p>
        </w:tc>
        <w:tc>
          <w:tcPr>
            <w:tcW w:w="83" w:type="dxa"/>
            <w:tcBorders/>
            <w:vAlign w:val="center"/>
          </w:tcPr>
          <w:p>
            <w:pPr>
              <w:pStyle w:val="TableContents"/>
              <w:bidi w:val="0"/>
              <w:spacing w:before="0" w:after="283"/>
              <w:ind w:left="0" w:right="0" w:hanging="180"/>
              <w:jc w:val="left"/>
              <w:rPr>
                <w:b/>
              </w:rPr>
            </w:pPr>
            <w:r>
              <w:rPr>
                <w:b/>
              </w:rPr>
              <w:t>)</w:t>
            </w:r>
          </w:p>
        </w:tc>
      </w:tr>
      <w:tr>
        <w:trPr/>
        <w:tc>
          <w:tcPr>
            <w:tcW w:w="6362"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471,136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1,036,326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152,736</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362" w:type="dxa"/>
            <w:tcBorders/>
            <w:vAlign w:val="center"/>
          </w:tcPr>
          <w:p>
            <w:pPr>
              <w:pStyle w:val="TableContents"/>
              <w:bidi w:val="0"/>
              <w:spacing w:before="0" w:after="283"/>
              <w:jc w:val="left"/>
              <w:rPr>
                <w:b/>
              </w:rPr>
            </w:pPr>
            <w:r>
              <w:rPr>
                <w:b/>
              </w:rPr>
              <w:t>Total liabilities and shareholders’ equity</w:t>
            </w:r>
          </w:p>
        </w:tc>
        <w:tc>
          <w:tcPr>
            <w:tcW w:w="60" w:type="dxa"/>
            <w:tcBorders/>
            <w:vAlign w:val="center"/>
          </w:tcPr>
          <w:p>
            <w:pPr>
              <w:pStyle w:val="TableContents"/>
              <w:bidi w:val="0"/>
              <w:spacing w:before="0" w:after="283"/>
              <w:jc w:val="left"/>
              <w:rPr/>
            </w:pPr>
            <w:r>
              <w:rPr/>
              <w:t> </w:t>
            </w:r>
          </w:p>
        </w:tc>
        <w:tc>
          <w:tcPr>
            <w:tcW w:w="81" w:type="dxa"/>
            <w:tcBorders>
              <w:bottom w:val="single" w:sz="12" w:space="0" w:color="000000"/>
            </w:tcBorders>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tcMar>
              <w:bottom w:w="28" w:type="dxa"/>
            </w:tcMar>
            <w:vAlign w:val="center"/>
          </w:tcPr>
          <w:p>
            <w:pPr>
              <w:pStyle w:val="TableContents"/>
              <w:bidi w:val="0"/>
              <w:spacing w:before="0" w:after="283"/>
              <w:jc w:val="right"/>
              <w:rPr>
                <w:b/>
              </w:rPr>
            </w:pPr>
            <w:r>
              <w:rPr>
                <w:b/>
              </w:rPr>
              <w:t>1,528,098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tcMar>
              <w:bottom w:w="28" w:type="dxa"/>
            </w:tcMar>
            <w:vAlign w:val="center"/>
          </w:tcPr>
          <w:p>
            <w:pPr>
              <w:pStyle w:val="TableContents"/>
              <w:bidi w:val="0"/>
              <w:spacing w:before="0" w:after="283"/>
              <w:jc w:val="right"/>
              <w:rPr>
                <w:b/>
              </w:rPr>
            </w:pPr>
            <w:r>
              <w:rPr>
                <w:b/>
              </w:rPr>
              <w:t>1,986,822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bottom w:val="single" w:sz="12" w:space="0" w:color="000000"/>
            </w:tcBorders>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tcMar>
              <w:bottom w:w="28" w:type="dxa"/>
            </w:tcMar>
            <w:vAlign w:val="center"/>
          </w:tcPr>
          <w:p>
            <w:pPr>
              <w:pStyle w:val="TableContents"/>
              <w:bidi w:val="0"/>
              <w:spacing w:before="0" w:after="283"/>
              <w:jc w:val="right"/>
              <w:rPr>
                <w:b/>
              </w:rPr>
            </w:pPr>
            <w:r>
              <w:rPr>
                <w:b/>
              </w:rPr>
              <w:t>292,821</w:t>
            </w:r>
          </w:p>
        </w:tc>
        <w:tc>
          <w:tcPr>
            <w:tcW w:w="8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The number of shares as of December 31, 2025 is retrospectively restated for the 1-for-20 reverse share split effected on June 16,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7" w:name="a_002"/>
      <w:bookmarkEnd w:id="7"/>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Consolidated Statements of (Loss) Income and Comprehensive (Loss) Income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80"/>
        <w:gridCol w:w="60"/>
        <w:gridCol w:w="60"/>
        <w:gridCol w:w="875"/>
        <w:gridCol w:w="95"/>
        <w:gridCol w:w="60"/>
        <w:gridCol w:w="60"/>
        <w:gridCol w:w="875"/>
        <w:gridCol w:w="95"/>
        <w:gridCol w:w="60"/>
        <w:gridCol w:w="65"/>
        <w:gridCol w:w="824"/>
        <w:gridCol w:w="96"/>
      </w:tblGrid>
      <w:tr>
        <w:trPr/>
        <w:tc>
          <w:tcPr>
            <w:tcW w:w="6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96"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b/>
              </w:rPr>
            </w:pPr>
            <w:r>
              <w:rPr>
                <w:b/>
              </w:rPr>
              <w:t>US$</w:t>
            </w:r>
          </w:p>
        </w:tc>
        <w:tc>
          <w:tcPr>
            <w:tcW w:w="96"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b/>
              </w:rPr>
            </w:pPr>
            <w:r>
              <w:rPr>
                <w:b/>
              </w:rPr>
              <w:t>Note 2(v)</w:t>
            </w:r>
          </w:p>
        </w:tc>
        <w:tc>
          <w:tcPr>
            <w:tcW w:w="96"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b/>
              </w:rPr>
            </w:pPr>
            <w:r>
              <w:rPr>
                <w:b/>
              </w:rPr>
              <w:t>Net revenues:</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ind w:left="0" w:right="0" w:hanging="180"/>
              <w:jc w:val="left"/>
              <w:rPr/>
            </w:pPr>
            <w:r>
              <w:rPr/>
              <w:t> </w:t>
            </w:r>
          </w:p>
        </w:tc>
      </w:tr>
      <w:tr>
        <w:trPr/>
        <w:tc>
          <w:tcPr>
            <w:tcW w:w="6980" w:type="dxa"/>
            <w:tcBorders/>
            <w:shd w:fill="CCEEFF" w:val="clear"/>
            <w:vAlign w:val="center"/>
          </w:tcPr>
          <w:p>
            <w:pPr>
              <w:pStyle w:val="TableContents"/>
              <w:bidi w:val="0"/>
              <w:spacing w:before="0" w:after="283"/>
              <w:jc w:val="left"/>
              <w:rPr/>
            </w:pPr>
            <w:r>
              <w:rPr/>
              <w:t>Revenues generated from Agency services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297,447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224,493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12" w:space="0" w:color="000000"/>
            </w:tcBorders>
            <w:shd w:fill="CCEEFF" w:val="clear"/>
            <w:tcMar>
              <w:bottom w:w="28" w:type="dxa"/>
            </w:tcMar>
            <w:vAlign w:val="center"/>
          </w:tcPr>
          <w:p>
            <w:pPr>
              <w:pStyle w:val="TableContents"/>
              <w:bidi w:val="0"/>
              <w:spacing w:before="0" w:after="283"/>
              <w:jc w:val="right"/>
              <w:rPr/>
            </w:pPr>
            <w:r>
              <w:rPr/>
              <w:t>33,086</w:t>
            </w:r>
          </w:p>
        </w:tc>
        <w:tc>
          <w:tcPr>
            <w:tcW w:w="96"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i/>
              </w:rPr>
            </w:pPr>
            <w:r>
              <w:rPr>
                <w:i/>
              </w:rPr>
              <w:t>Life insurance business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i/>
              </w:rPr>
            </w:pPr>
            <w:r>
              <w:rPr>
                <w:i/>
              </w:rPr>
              <w:t>267,881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i/>
              </w:rPr>
            </w:pPr>
            <w:r>
              <w:rPr>
                <w:i/>
              </w:rPr>
              <w:t>209,373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i/>
              </w:rPr>
            </w:pPr>
            <w:r>
              <w:rPr>
                <w:i/>
              </w:rPr>
              <w:t>30,858</w:t>
            </w:r>
          </w:p>
        </w:tc>
        <w:tc>
          <w:tcPr>
            <w:tcW w:w="96"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i/>
              </w:rPr>
            </w:pPr>
            <w:r>
              <w:rPr>
                <w:i/>
              </w:rPr>
              <w:t>Non-life insurance business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i/>
              </w:rPr>
            </w:pPr>
            <w:r>
              <w:rPr>
                <w:i/>
              </w:rPr>
              <w:t>29,566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i/>
              </w:rPr>
            </w:pPr>
            <w:r>
              <w:rPr>
                <w:i/>
              </w:rPr>
              <w:t>15,120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i/>
              </w:rPr>
            </w:pPr>
            <w:r>
              <w:rPr>
                <w:i/>
              </w:rPr>
              <w:t>2,228</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6980" w:type="dxa"/>
            <w:tcBorders/>
            <w:vAlign w:val="center"/>
          </w:tcPr>
          <w:p>
            <w:pPr>
              <w:pStyle w:val="TableContents"/>
              <w:bidi w:val="0"/>
              <w:spacing w:before="0" w:after="283"/>
              <w:jc w:val="left"/>
              <w:rPr/>
            </w:pPr>
            <w:r>
              <w:rPr/>
              <w:t>Revenues generated from sales of health and wellness products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1,687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824" w:type="dxa"/>
            <w:tcBorders>
              <w:bottom w:val="single" w:sz="12" w:space="0" w:color="000000"/>
            </w:tcBorders>
            <w:tcMar>
              <w:bottom w:w="28" w:type="dxa"/>
            </w:tcMar>
            <w:vAlign w:val="center"/>
          </w:tcPr>
          <w:p>
            <w:pPr>
              <w:pStyle w:val="TableContents"/>
              <w:bidi w:val="0"/>
              <w:spacing w:before="0" w:after="283"/>
              <w:jc w:val="right"/>
              <w:rPr/>
            </w:pPr>
            <w:r>
              <w:rPr/>
              <w:t>248</w:t>
            </w:r>
          </w:p>
        </w:tc>
        <w:tc>
          <w:tcPr>
            <w:tcW w:w="96" w:type="dxa"/>
            <w:tcBorders/>
            <w:vAlign w:val="center"/>
          </w:tcPr>
          <w:p>
            <w:pPr>
              <w:pStyle w:val="TableContents"/>
              <w:bidi w:val="0"/>
              <w:spacing w:before="0" w:after="283"/>
              <w:ind w:left="0" w:right="0" w:hanging="180"/>
              <w:jc w:val="left"/>
              <w:rPr/>
            </w:pPr>
            <w:r>
              <w:rPr/>
              <w:t> </w:t>
            </w:r>
          </w:p>
        </w:tc>
      </w:tr>
      <w:tr>
        <w:trPr/>
        <w:tc>
          <w:tcPr>
            <w:tcW w:w="6980" w:type="dxa"/>
            <w:tcBorders/>
            <w:shd w:fill="CCEEFF" w:val="clear"/>
            <w:vAlign w:val="center"/>
          </w:tcPr>
          <w:p>
            <w:pPr>
              <w:pStyle w:val="TableContents"/>
              <w:bidi w:val="0"/>
              <w:spacing w:before="0" w:after="283"/>
              <w:jc w:val="left"/>
              <w:rPr>
                <w:b/>
              </w:rPr>
            </w:pPr>
            <w:r>
              <w:rPr>
                <w:b/>
              </w:rPr>
              <w:t>Total net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297,447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226,180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33,334</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6980" w:type="dxa"/>
            <w:tcBorders/>
            <w:vAlign w:val="center"/>
          </w:tcPr>
          <w:p>
            <w:pPr>
              <w:pStyle w:val="TableContents"/>
              <w:bidi w:val="0"/>
              <w:spacing w:before="0" w:after="283"/>
              <w:jc w:val="left"/>
              <w:rPr>
                <w:b/>
              </w:rPr>
            </w:pPr>
            <w:r>
              <w:rPr>
                <w:b/>
              </w:rPr>
              <w:t>Operating costs and expenses: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ind w:left="0" w:right="0" w:hanging="180"/>
              <w:jc w:val="left"/>
              <w:rPr/>
            </w:pPr>
            <w:r>
              <w:rPr/>
              <w:t> </w:t>
            </w:r>
          </w:p>
        </w:tc>
      </w:tr>
      <w:tr>
        <w:trPr/>
        <w:tc>
          <w:tcPr>
            <w:tcW w:w="6980" w:type="dxa"/>
            <w:tcBorders/>
            <w:shd w:fill="CCEEFF" w:val="clear"/>
            <w:vAlign w:val="center"/>
          </w:tcPr>
          <w:p>
            <w:pPr>
              <w:pStyle w:val="TableContents"/>
              <w:bidi w:val="0"/>
              <w:spacing w:before="0" w:after="283"/>
              <w:jc w:val="left"/>
              <w:rPr/>
            </w:pPr>
            <w:r>
              <w:rPr/>
              <w:t>Cost of Agency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(142,567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(96,946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(14,288</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6980" w:type="dxa"/>
            <w:tcBorders/>
            <w:vAlign w:val="center"/>
          </w:tcPr>
          <w:p>
            <w:pPr>
              <w:pStyle w:val="TableContents"/>
              <w:bidi w:val="0"/>
              <w:spacing w:before="0" w:after="283"/>
              <w:jc w:val="left"/>
              <w:rPr/>
            </w:pPr>
            <w:r>
              <w:rPr/>
              <w:t>Life insurance business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(126,440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(87,716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(12,928</w:t>
            </w:r>
          </w:p>
        </w:tc>
        <w:tc>
          <w:tcPr>
            <w:tcW w:w="96" w:type="dxa"/>
            <w:tcBorders/>
            <w:vAlign w:val="center"/>
          </w:tcPr>
          <w:p>
            <w:pPr>
              <w:pStyle w:val="TableContents"/>
              <w:bidi w:val="0"/>
              <w:spacing w:before="0" w:after="283"/>
              <w:ind w:left="0" w:right="0" w:hanging="180"/>
              <w:jc w:val="left"/>
              <w:rPr/>
            </w:pPr>
            <w:r>
              <w:rPr/>
              <w:t>)</w:t>
            </w:r>
          </w:p>
        </w:tc>
      </w:tr>
      <w:tr>
        <w:trPr/>
        <w:tc>
          <w:tcPr>
            <w:tcW w:w="6980" w:type="dxa"/>
            <w:tcBorders/>
            <w:shd w:fill="CCEEFF" w:val="clear"/>
            <w:vAlign w:val="center"/>
          </w:tcPr>
          <w:p>
            <w:pPr>
              <w:pStyle w:val="TableContents"/>
              <w:bidi w:val="0"/>
              <w:spacing w:before="0" w:after="283"/>
              <w:jc w:val="left"/>
              <w:rPr/>
            </w:pPr>
            <w:r>
              <w:rPr/>
              <w:t>Non-Life insurance business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(16,127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(9,230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(1,360</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6980" w:type="dxa"/>
            <w:tcBorders/>
            <w:vAlign w:val="center"/>
          </w:tcPr>
          <w:p>
            <w:pPr>
              <w:pStyle w:val="TableContents"/>
              <w:bidi w:val="0"/>
              <w:spacing w:before="0" w:after="283"/>
              <w:jc w:val="left"/>
              <w:rPr/>
            </w:pPr>
            <w:r>
              <w:rPr/>
              <w:t>Cost of Sales of health and wellness products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(1,651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(243</w:t>
            </w:r>
          </w:p>
        </w:tc>
        <w:tc>
          <w:tcPr>
            <w:tcW w:w="96" w:type="dxa"/>
            <w:tcBorders/>
            <w:vAlign w:val="center"/>
          </w:tcPr>
          <w:p>
            <w:pPr>
              <w:pStyle w:val="TableContents"/>
              <w:bidi w:val="0"/>
              <w:spacing w:before="0" w:after="283"/>
              <w:ind w:left="0" w:right="0" w:hanging="180"/>
              <w:jc w:val="left"/>
              <w:rPr/>
            </w:pPr>
            <w:r>
              <w:rPr/>
              <w:t>)</w:t>
            </w:r>
          </w:p>
        </w:tc>
      </w:tr>
      <w:tr>
        <w:trPr/>
        <w:tc>
          <w:tcPr>
            <w:tcW w:w="6980" w:type="dxa"/>
            <w:tcBorders/>
            <w:shd w:fill="CCEEFF" w:val="clear"/>
            <w:vAlign w:val="center"/>
          </w:tcPr>
          <w:p>
            <w:pPr>
              <w:pStyle w:val="TableContents"/>
              <w:bidi w:val="0"/>
              <w:spacing w:before="0" w:after="283"/>
              <w:jc w:val="left"/>
              <w:rPr>
                <w:b/>
              </w:rPr>
            </w:pPr>
            <w:r>
              <w:rPr>
                <w:b/>
              </w:rPr>
              <w:t>Total operating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(142,567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(98,597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b/>
              </w:rPr>
            </w:pPr>
            <w:r>
              <w:rPr>
                <w:b/>
              </w:rPr>
              <w:t>(14,531</w:t>
            </w:r>
          </w:p>
        </w:tc>
        <w:tc>
          <w:tcPr>
            <w:tcW w:w="96" w:type="dxa"/>
            <w:tcBorders/>
            <w:shd w:fill="CCEEFF" w:val="clear"/>
            <w:vAlign w:val="center"/>
          </w:tcPr>
          <w:p>
            <w:pPr>
              <w:pStyle w:val="TableContents"/>
              <w:bidi w:val="0"/>
              <w:spacing w:before="0" w:after="283"/>
              <w:ind w:left="0" w:right="0" w:hanging="180"/>
              <w:jc w:val="left"/>
              <w:rPr>
                <w:b/>
              </w:rPr>
            </w:pPr>
            <w:r>
              <w:rPr>
                <w:b/>
              </w:rPr>
              <w:t>)</w:t>
            </w:r>
          </w:p>
        </w:tc>
      </w:tr>
      <w:tr>
        <w:trPr/>
        <w:tc>
          <w:tcPr>
            <w:tcW w:w="6980" w:type="dxa"/>
            <w:tcBorders/>
            <w:vAlign w:val="center"/>
          </w:tcPr>
          <w:p>
            <w:pPr>
              <w:pStyle w:val="TableContents"/>
              <w:bidi w:val="0"/>
              <w:spacing w:before="0" w:after="283"/>
              <w:jc w:val="left"/>
              <w:rPr/>
            </w:pPr>
            <w:r>
              <w:rPr/>
              <w:t>Selling expenses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(23,171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(24,926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(3,674</w:t>
            </w:r>
          </w:p>
        </w:tc>
        <w:tc>
          <w:tcPr>
            <w:tcW w:w="96" w:type="dxa"/>
            <w:tcBorders/>
            <w:vAlign w:val="center"/>
          </w:tcPr>
          <w:p>
            <w:pPr>
              <w:pStyle w:val="TableContents"/>
              <w:bidi w:val="0"/>
              <w:spacing w:before="0" w:after="283"/>
              <w:ind w:left="0" w:right="0" w:hanging="180"/>
              <w:jc w:val="left"/>
              <w:rPr/>
            </w:pPr>
            <w:r>
              <w:rPr/>
              <w:t>)</w:t>
            </w:r>
          </w:p>
        </w:tc>
      </w:tr>
      <w:tr>
        <w:trPr/>
        <w:tc>
          <w:tcPr>
            <w:tcW w:w="698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(139,507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(69,745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12" w:space="0" w:color="000000"/>
            </w:tcBorders>
            <w:shd w:fill="CCEEFF" w:val="clear"/>
            <w:tcMar>
              <w:bottom w:w="28" w:type="dxa"/>
            </w:tcMar>
            <w:vAlign w:val="center"/>
          </w:tcPr>
          <w:p>
            <w:pPr>
              <w:pStyle w:val="TableContents"/>
              <w:bidi w:val="0"/>
              <w:spacing w:before="0" w:after="283"/>
              <w:jc w:val="right"/>
              <w:rPr/>
            </w:pPr>
            <w:r>
              <w:rPr/>
              <w:t>(10,279</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6980" w:type="dxa"/>
            <w:tcBorders/>
            <w:vAlign w:val="center"/>
          </w:tcPr>
          <w:p>
            <w:pPr>
              <w:pStyle w:val="TableContents"/>
              <w:bidi w:val="0"/>
              <w:spacing w:before="0" w:after="283"/>
              <w:jc w:val="left"/>
              <w:rPr>
                <w:b/>
              </w:rPr>
            </w:pPr>
            <w:r>
              <w:rPr>
                <w:b/>
              </w:rPr>
              <w:t>Total operating costs and expenses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b/>
              </w:rPr>
            </w:pPr>
            <w:r>
              <w:rPr>
                <w:b/>
              </w:rPr>
              <w:t>(305,245</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b/>
              </w:rPr>
            </w:pPr>
            <w:r>
              <w:rPr>
                <w:b/>
              </w:rPr>
              <w:t>(193,268</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824" w:type="dxa"/>
            <w:tcBorders>
              <w:bottom w:val="single" w:sz="12" w:space="0" w:color="000000"/>
            </w:tcBorders>
            <w:tcMar>
              <w:bottom w:w="28" w:type="dxa"/>
            </w:tcMar>
            <w:vAlign w:val="center"/>
          </w:tcPr>
          <w:p>
            <w:pPr>
              <w:pStyle w:val="TableContents"/>
              <w:bidi w:val="0"/>
              <w:spacing w:before="0" w:after="283"/>
              <w:jc w:val="right"/>
              <w:rPr>
                <w:b/>
              </w:rPr>
            </w:pPr>
            <w:r>
              <w:rPr>
                <w:b/>
              </w:rPr>
              <w:t>(28,484</w:t>
            </w:r>
          </w:p>
        </w:tc>
        <w:tc>
          <w:tcPr>
            <w:tcW w:w="96" w:type="dxa"/>
            <w:tcBorders/>
            <w:vAlign w:val="center"/>
          </w:tcPr>
          <w:p>
            <w:pPr>
              <w:pStyle w:val="TableContents"/>
              <w:bidi w:val="0"/>
              <w:spacing w:before="0" w:after="283"/>
              <w:ind w:left="0" w:right="0" w:hanging="180"/>
              <w:jc w:val="left"/>
              <w:rPr>
                <w:b/>
              </w:rPr>
            </w:pPr>
            <w:r>
              <w:rPr>
                <w:b/>
              </w:rPr>
              <w:t>)</w:t>
            </w:r>
          </w:p>
        </w:tc>
      </w:tr>
      <w:tr>
        <w:trPr/>
        <w:tc>
          <w:tcPr>
            <w:tcW w:w="6980" w:type="dxa"/>
            <w:tcBorders/>
            <w:shd w:fill="CCEEFF" w:val="clear"/>
            <w:vAlign w:val="center"/>
          </w:tcPr>
          <w:p>
            <w:pPr>
              <w:pStyle w:val="TableContents"/>
              <w:bidi w:val="0"/>
              <w:spacing w:before="0" w:after="283"/>
              <w:jc w:val="left"/>
              <w:rPr>
                <w:b/>
              </w:rPr>
            </w:pPr>
            <w:r>
              <w:rPr>
                <w:b/>
              </w:rPr>
              <w:t>(Loss) Income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(7,798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32,912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b/>
              </w:rPr>
            </w:pPr>
            <w:r>
              <w:rPr>
                <w:b/>
              </w:rPr>
              <w:t>4,850</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6980" w:type="dxa"/>
            <w:tcBorders/>
            <w:vAlign w:val="center"/>
          </w:tcPr>
          <w:p>
            <w:pPr>
              <w:pStyle w:val="TableContents"/>
              <w:bidi w:val="0"/>
              <w:spacing w:before="0" w:after="283"/>
              <w:jc w:val="left"/>
              <w:rPr>
                <w:b/>
              </w:rPr>
            </w:pPr>
            <w:r>
              <w:rPr>
                <w:b/>
              </w:rPr>
              <w:t>Other (loss) income, 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ind w:left="0" w:right="0" w:hanging="180"/>
              <w:jc w:val="left"/>
              <w:rPr/>
            </w:pPr>
            <w:r>
              <w:rPr/>
              <w:t> </w:t>
            </w:r>
          </w:p>
        </w:tc>
      </w:tr>
      <w:tr>
        <w:trPr/>
        <w:tc>
          <w:tcPr>
            <w:tcW w:w="6980" w:type="dxa"/>
            <w:tcBorders/>
            <w:shd w:fill="CCEEFF" w:val="clear"/>
            <w:vAlign w:val="center"/>
          </w:tcPr>
          <w:p>
            <w:pPr>
              <w:pStyle w:val="TableContents"/>
              <w:bidi w:val="0"/>
              <w:spacing w:before="0" w:after="283"/>
              <w:jc w:val="left"/>
              <w:rPr/>
            </w:pPr>
            <w:r>
              <w:rPr/>
              <w:t>Losses from fair value change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(17,960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(164</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6980" w:type="dxa"/>
            <w:tcBorders/>
            <w:vAlign w:val="center"/>
          </w:tcPr>
          <w:p>
            <w:pPr>
              <w:pStyle w:val="TableContents"/>
              <w:bidi w:val="0"/>
              <w:spacing w:before="0" w:after="283"/>
              <w:jc w:val="left"/>
              <w:rPr/>
            </w:pPr>
            <w:r>
              <w:rPr/>
              <w:t>Investment income (loss) related to the realized gain (loss) on short term investments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(804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(118</w:t>
            </w:r>
          </w:p>
        </w:tc>
        <w:tc>
          <w:tcPr>
            <w:tcW w:w="96" w:type="dxa"/>
            <w:tcBorders/>
            <w:vAlign w:val="center"/>
          </w:tcPr>
          <w:p>
            <w:pPr>
              <w:pStyle w:val="TableContents"/>
              <w:bidi w:val="0"/>
              <w:spacing w:before="0" w:after="283"/>
              <w:ind w:left="0" w:right="0" w:hanging="180"/>
              <w:jc w:val="left"/>
              <w:rPr/>
            </w:pPr>
            <w:r>
              <w:rPr/>
              <w:t>)</w:t>
            </w:r>
          </w:p>
        </w:tc>
      </w:tr>
      <w:tr>
        <w:trPr/>
        <w:tc>
          <w:tcPr>
            <w:tcW w:w="6980" w:type="dxa"/>
            <w:tcBorders/>
            <w:shd w:fill="CCEEFF" w:val="clear"/>
            <w:vAlign w:val="center"/>
          </w:tcPr>
          <w:p>
            <w:pPr>
              <w:pStyle w:val="TableContents"/>
              <w:bidi w:val="0"/>
              <w:spacing w:before="0" w:after="283"/>
              <w:jc w:val="left"/>
              <w:rPr/>
            </w:pPr>
            <w:r>
              <w:rPr/>
              <w:t>Gains from disposal of subsidiaries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6,313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6980" w:type="dxa"/>
            <w:tcBorders/>
            <w:vAlign w:val="center"/>
          </w:tcPr>
          <w:p>
            <w:pPr>
              <w:pStyle w:val="TableContents"/>
              <w:bidi w:val="0"/>
              <w:spacing w:before="0" w:after="283"/>
              <w:jc w:val="left"/>
              <w:rPr/>
            </w:pPr>
            <w:r>
              <w:rPr/>
              <w:t>Interest income, 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16,621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18</w:t>
            </w:r>
          </w:p>
        </w:tc>
        <w:tc>
          <w:tcPr>
            <w:tcW w:w="96" w:type="dxa"/>
            <w:tcBorders/>
            <w:vAlign w:val="center"/>
          </w:tcPr>
          <w:p>
            <w:pPr>
              <w:pStyle w:val="TableContents"/>
              <w:bidi w:val="0"/>
              <w:spacing w:before="0" w:after="283"/>
              <w:ind w:left="0" w:right="0" w:hanging="180"/>
              <w:jc w:val="left"/>
              <w:rPr/>
            </w:pPr>
            <w:r>
              <w:rPr/>
              <w:t> </w:t>
            </w:r>
          </w:p>
        </w:tc>
      </w:tr>
      <w:tr>
        <w:trPr/>
        <w:tc>
          <w:tcPr>
            <w:tcW w:w="6980" w:type="dxa"/>
            <w:tcBorders/>
            <w:shd w:fill="CCEEFF" w:val="clear"/>
            <w:vAlign w:val="center"/>
          </w:tcPr>
          <w:p>
            <w:pPr>
              <w:pStyle w:val="TableContents"/>
              <w:bidi w:val="0"/>
              <w:spacing w:before="0" w:after="283"/>
              <w:jc w:val="left"/>
              <w:rPr/>
            </w:pPr>
            <w:r>
              <w:rPr/>
              <w:t>Financial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(436</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6980" w:type="dxa"/>
            <w:tcBorders/>
            <w:vAlign w:val="center"/>
          </w:tcPr>
          <w:p>
            <w:pPr>
              <w:pStyle w:val="TableContents"/>
              <w:bidi w:val="0"/>
              <w:spacing w:before="0" w:after="283"/>
              <w:jc w:val="left"/>
              <w:rPr/>
            </w:pPr>
            <w:r>
              <w:rPr/>
              <w:t>(Provision for) Reversal of credit 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(487,583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3,199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472</w:t>
            </w:r>
          </w:p>
        </w:tc>
        <w:tc>
          <w:tcPr>
            <w:tcW w:w="96" w:type="dxa"/>
            <w:tcBorders/>
            <w:vAlign w:val="center"/>
          </w:tcPr>
          <w:p>
            <w:pPr>
              <w:pStyle w:val="TableContents"/>
              <w:bidi w:val="0"/>
              <w:spacing w:before="0" w:after="283"/>
              <w:ind w:left="0" w:right="0" w:hanging="180"/>
              <w:jc w:val="left"/>
              <w:rPr/>
            </w:pPr>
            <w:r>
              <w:rPr/>
              <w:t> </w:t>
            </w:r>
          </w:p>
        </w:tc>
      </w:tr>
      <w:tr>
        <w:trPr/>
        <w:tc>
          <w:tcPr>
            <w:tcW w:w="6980" w:type="dxa"/>
            <w:tcBorders/>
            <w:shd w:fill="CCEEFF" w:val="clear"/>
            <w:vAlign w:val="center"/>
          </w:tcPr>
          <w:p>
            <w:pPr>
              <w:pStyle w:val="TableContents"/>
              <w:bidi w:val="0"/>
              <w:spacing w:before="0" w:after="283"/>
              <w:jc w:val="left"/>
              <w:rPr/>
            </w:pPr>
            <w:r>
              <w:rPr/>
              <w:t>Others,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22,646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24,916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12" w:space="0" w:color="000000"/>
            </w:tcBorders>
            <w:shd w:fill="CCEEFF" w:val="clear"/>
            <w:tcMar>
              <w:bottom w:w="28" w:type="dxa"/>
            </w:tcMar>
            <w:vAlign w:val="center"/>
          </w:tcPr>
          <w:p>
            <w:pPr>
              <w:pStyle w:val="TableContents"/>
              <w:bidi w:val="0"/>
              <w:spacing w:before="0" w:after="283"/>
              <w:jc w:val="right"/>
              <w:rPr/>
            </w:pPr>
            <w:r>
              <w:rPr/>
              <w:t>3,672</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6980" w:type="dxa"/>
            <w:tcBorders/>
            <w:vAlign w:val="center"/>
          </w:tcPr>
          <w:p>
            <w:pPr>
              <w:pStyle w:val="TableContents"/>
              <w:bidi w:val="0"/>
              <w:spacing w:before="0" w:after="283"/>
              <w:jc w:val="left"/>
              <w:rPr>
                <w:b/>
              </w:rPr>
            </w:pPr>
            <w:r>
              <w:rPr>
                <w:b/>
              </w:rPr>
              <w:t>(Loss) Income from continuing operations before income taxes, share of income and impairment of affiliates, 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(464,945</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56,276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b/>
              </w:rPr>
            </w:pPr>
            <w:r>
              <w:rPr>
                <w:b/>
              </w:rPr>
              <w:t>8,294</w:t>
            </w:r>
          </w:p>
        </w:tc>
        <w:tc>
          <w:tcPr>
            <w:tcW w:w="96" w:type="dxa"/>
            <w:tcBorders/>
            <w:vAlign w:val="center"/>
          </w:tcPr>
          <w:p>
            <w:pPr>
              <w:pStyle w:val="TableContents"/>
              <w:bidi w:val="0"/>
              <w:spacing w:before="0" w:after="283"/>
              <w:ind w:left="0" w:right="0" w:hanging="180"/>
              <w:jc w:val="left"/>
              <w:rPr/>
            </w:pPr>
            <w:r>
              <w:rPr/>
              <w:t> </w:t>
            </w:r>
          </w:p>
        </w:tc>
      </w:tr>
      <w:tr>
        <w:trPr/>
        <w:tc>
          <w:tcPr>
            <w:tcW w:w="698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(8,400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(1,209</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6980" w:type="dxa"/>
            <w:tcBorders/>
            <w:vAlign w:val="center"/>
          </w:tcPr>
          <w:p>
            <w:pPr>
              <w:pStyle w:val="TableContents"/>
              <w:bidi w:val="0"/>
              <w:spacing w:before="0" w:after="283"/>
              <w:jc w:val="left"/>
              <w:rPr>
                <w:b/>
              </w:rPr>
            </w:pPr>
            <w:r>
              <w:rPr>
                <w:b/>
              </w:rPr>
              <w:t>Net (loss) income from continuing operations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(473,345</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48,076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b/>
              </w:rPr>
            </w:pPr>
            <w:r>
              <w:rPr>
                <w:b/>
              </w:rPr>
              <w:t>7,085</w:t>
            </w:r>
          </w:p>
        </w:tc>
        <w:tc>
          <w:tcPr>
            <w:tcW w:w="96" w:type="dxa"/>
            <w:tcBorders/>
            <w:vAlign w:val="center"/>
          </w:tcPr>
          <w:p>
            <w:pPr>
              <w:pStyle w:val="TableContents"/>
              <w:bidi w:val="0"/>
              <w:spacing w:before="0" w:after="283"/>
              <w:ind w:left="0" w:right="0" w:hanging="180"/>
              <w:jc w:val="left"/>
              <w:rPr/>
            </w:pPr>
            <w:r>
              <w:rPr/>
              <w:t> </w:t>
            </w:r>
          </w:p>
        </w:tc>
      </w:tr>
      <w:tr>
        <w:trPr/>
        <w:tc>
          <w:tcPr>
            <w:tcW w:w="6980" w:type="dxa"/>
            <w:tcBorders/>
            <w:shd w:fill="CCEEFF" w:val="clear"/>
            <w:vAlign w:val="center"/>
          </w:tcPr>
          <w:p>
            <w:pPr>
              <w:pStyle w:val="TableContents"/>
              <w:bidi w:val="0"/>
              <w:spacing w:before="0" w:after="283"/>
              <w:jc w:val="left"/>
              <w:rPr>
                <w:b/>
              </w:rPr>
            </w:pPr>
            <w:r>
              <w:rPr>
                <w:b/>
              </w:rPr>
              <w:t>Net income from discontinued operations, net of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3,230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6980" w:type="dxa"/>
            <w:tcBorders/>
            <w:vAlign w:val="center"/>
          </w:tcPr>
          <w:p>
            <w:pPr>
              <w:pStyle w:val="TableContents"/>
              <w:bidi w:val="0"/>
              <w:spacing w:before="0" w:after="283"/>
              <w:jc w:val="left"/>
              <w:rPr>
                <w:b/>
              </w:rPr>
            </w:pPr>
            <w:r>
              <w:rPr>
                <w:b/>
              </w:rPr>
              <w:t>Net (loss)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(470,115</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48,076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b/>
              </w:rPr>
            </w:pPr>
            <w:r>
              <w:rPr>
                <w:b/>
              </w:rPr>
              <w:t>7,085</w:t>
            </w:r>
          </w:p>
        </w:tc>
        <w:tc>
          <w:tcPr>
            <w:tcW w:w="96" w:type="dxa"/>
            <w:tcBorders/>
            <w:vAlign w:val="center"/>
          </w:tcPr>
          <w:p>
            <w:pPr>
              <w:pStyle w:val="TableContents"/>
              <w:bidi w:val="0"/>
              <w:spacing w:before="0" w:after="283"/>
              <w:ind w:left="0" w:right="0" w:hanging="180"/>
              <w:jc w:val="left"/>
              <w:rPr/>
            </w:pPr>
            <w:r>
              <w:rPr/>
              <w:t> </w:t>
            </w:r>
          </w:p>
        </w:tc>
      </w:tr>
      <w:tr>
        <w:trPr/>
        <w:tc>
          <w:tcPr>
            <w:tcW w:w="6980" w:type="dxa"/>
            <w:tcBorders/>
            <w:shd w:fill="CCEEFF" w:val="clear"/>
            <w:vAlign w:val="center"/>
          </w:tcPr>
          <w:p>
            <w:pPr>
              <w:pStyle w:val="TableContents"/>
              <w:bidi w:val="0"/>
              <w:spacing w:before="0" w:after="283"/>
              <w:jc w:val="left"/>
              <w:rPr/>
            </w:pPr>
            <w:r>
              <w:rPr/>
              <w:t>Less: net loss attributable to the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(4,406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12" w:space="0" w:color="000000"/>
            </w:tcBorders>
            <w:shd w:fill="CCEEFF" w:val="clear"/>
            <w:tcMar>
              <w:bottom w:w="28" w:type="dxa"/>
            </w:tcMar>
            <w:vAlign w:val="center"/>
          </w:tcPr>
          <w:p>
            <w:pPr>
              <w:pStyle w:val="TableContents"/>
              <w:bidi w:val="0"/>
              <w:spacing w:before="0" w:after="283"/>
              <w:jc w:val="right"/>
              <w:rPr/>
            </w:pPr>
            <w:r>
              <w:rPr/>
              <w:t>(31</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6980" w:type="dxa"/>
            <w:tcBorders/>
            <w:vAlign w:val="center"/>
          </w:tcPr>
          <w:p>
            <w:pPr>
              <w:pStyle w:val="TableContents"/>
              <w:bidi w:val="0"/>
              <w:spacing w:before="0" w:after="283"/>
              <w:jc w:val="left"/>
              <w:rPr/>
            </w:pPr>
            <w:r>
              <w:rPr/>
              <w:t>Continuing operations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(4,406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(207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824" w:type="dxa"/>
            <w:tcBorders>
              <w:bottom w:val="single" w:sz="12" w:space="0" w:color="000000"/>
            </w:tcBorders>
            <w:tcMar>
              <w:bottom w:w="28" w:type="dxa"/>
            </w:tcMar>
            <w:vAlign w:val="center"/>
          </w:tcPr>
          <w:p>
            <w:pPr>
              <w:pStyle w:val="TableContents"/>
              <w:bidi w:val="0"/>
              <w:spacing w:before="0" w:after="283"/>
              <w:jc w:val="right"/>
              <w:rPr/>
            </w:pPr>
            <w:r>
              <w:rPr/>
              <w:t>(31</w:t>
            </w:r>
          </w:p>
        </w:tc>
        <w:tc>
          <w:tcPr>
            <w:tcW w:w="96" w:type="dxa"/>
            <w:tcBorders/>
            <w:vAlign w:val="center"/>
          </w:tcPr>
          <w:p>
            <w:pPr>
              <w:pStyle w:val="TableContents"/>
              <w:bidi w:val="0"/>
              <w:spacing w:before="0" w:after="283"/>
              <w:ind w:left="0" w:right="0" w:hanging="180"/>
              <w:jc w:val="left"/>
              <w:rPr/>
            </w:pPr>
            <w:r>
              <w:rPr/>
              <w:t>)</w:t>
            </w:r>
          </w:p>
        </w:tc>
      </w:tr>
      <w:tr>
        <w:trPr/>
        <w:tc>
          <w:tcPr>
            <w:tcW w:w="6980"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6980" w:type="dxa"/>
            <w:tcBorders/>
            <w:vAlign w:val="center"/>
          </w:tcPr>
          <w:p>
            <w:pPr>
              <w:pStyle w:val="TableContents"/>
              <w:bidi w:val="0"/>
              <w:spacing w:before="0" w:after="283"/>
              <w:jc w:val="left"/>
              <w:rPr>
                <w:b/>
              </w:rPr>
            </w:pPr>
            <w:r>
              <w:rPr>
                <w:b/>
              </w:rPr>
              <w:t>Net (loss) income attributable to the shareholders of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(465,709</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48,283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b/>
              </w:rPr>
            </w:pPr>
            <w:r>
              <w:rPr>
                <w:b/>
              </w:rPr>
              <w:t>7,116</w:t>
            </w:r>
          </w:p>
        </w:tc>
        <w:tc>
          <w:tcPr>
            <w:tcW w:w="96" w:type="dxa"/>
            <w:tcBorders/>
            <w:vAlign w:val="center"/>
          </w:tcPr>
          <w:p>
            <w:pPr>
              <w:pStyle w:val="TableContents"/>
              <w:bidi w:val="0"/>
              <w:spacing w:before="0" w:after="283"/>
              <w:ind w:left="0" w:right="0" w:hanging="180"/>
              <w:jc w:val="left"/>
              <w:rPr/>
            </w:pPr>
            <w:r>
              <w:rPr/>
              <w:t> </w:t>
            </w:r>
          </w:p>
        </w:tc>
      </w:tr>
      <w:tr>
        <w:trPr/>
        <w:tc>
          <w:tcPr>
            <w:tcW w:w="6980"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(468,939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48,283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7,116</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6980" w:type="dxa"/>
            <w:tcBorders/>
            <w:vAlign w:val="center"/>
          </w:tcPr>
          <w:p>
            <w:pPr>
              <w:pStyle w:val="TableContents"/>
              <w:bidi w:val="0"/>
              <w:spacing w:before="0" w:after="283"/>
              <w:jc w:val="left"/>
              <w:rPr/>
            </w:pPr>
            <w:r>
              <w:rPr/>
              <w:t>Discontinued operations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3,230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824" w:type="dxa"/>
            <w:tcBorders>
              <w:bottom w:val="single" w:sz="12" w:space="0" w:color="000000"/>
            </w:tcBorders>
            <w:tcMar>
              <w:bottom w:w="28" w:type="dxa"/>
            </w:tcMar>
            <w:vAlign w:val="center"/>
          </w:tcPr>
          <w:p>
            <w:pPr>
              <w:pStyle w:val="TableContents"/>
              <w:bidi w:val="0"/>
              <w:spacing w:before="0" w:after="283"/>
              <w:jc w:val="right"/>
              <w:rPr/>
            </w:pPr>
            <w:r>
              <w:rPr/>
              <w:t>—</w:t>
            </w:r>
          </w:p>
        </w:tc>
        <w:tc>
          <w:tcPr>
            <w:tcW w:w="9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Consolidated Statements of (Loss) Income and Comprehensive (Loss) Income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10"/>
        <w:gridCol w:w="60"/>
        <w:gridCol w:w="60"/>
        <w:gridCol w:w="875"/>
        <w:gridCol w:w="95"/>
        <w:gridCol w:w="60"/>
        <w:gridCol w:w="60"/>
        <w:gridCol w:w="980"/>
        <w:gridCol w:w="95"/>
        <w:gridCol w:w="60"/>
        <w:gridCol w:w="60"/>
        <w:gridCol w:w="980"/>
        <w:gridCol w:w="110"/>
      </w:tblGrid>
      <w:tr>
        <w:trPr/>
        <w:tc>
          <w:tcPr>
            <w:tcW w:w="6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2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Note 2(v)</w:t>
            </w:r>
          </w:p>
        </w:tc>
        <w:tc>
          <w:tcPr>
            <w:tcW w:w="110" w:type="dxa"/>
            <w:tcBorders/>
            <w:vAlign w:val="center"/>
          </w:tcPr>
          <w:p>
            <w:pPr>
              <w:pStyle w:val="TableContents"/>
              <w:bidi w:val="0"/>
              <w:spacing w:before="0" w:after="283"/>
              <w:ind w:left="0" w:right="0" w:hanging="180"/>
              <w:jc w:val="left"/>
              <w:rPr/>
            </w:pPr>
            <w:r>
              <w:rPr/>
              <w:t> </w:t>
            </w:r>
          </w:p>
        </w:tc>
      </w:tr>
      <w:tr>
        <w:trPr/>
        <w:tc>
          <w:tcPr>
            <w:tcW w:w="6710" w:type="dxa"/>
            <w:tcBorders/>
            <w:shd w:fill="CCEEFF" w:val="clear"/>
            <w:vAlign w:val="center"/>
          </w:tcPr>
          <w:p>
            <w:pPr>
              <w:pStyle w:val="TableContents"/>
              <w:bidi w:val="0"/>
              <w:spacing w:before="0" w:after="283"/>
              <w:jc w:val="left"/>
              <w:rPr>
                <w:b/>
              </w:rPr>
            </w:pPr>
            <w:r>
              <w:rPr>
                <w:b/>
              </w:rPr>
              <w:t>Net (loss) income per share attributable to ordinary shareholders of the Company — Basic and diluted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(1,696.4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1.2</w:t>
            </w:r>
          </w:p>
        </w:tc>
        <w:tc>
          <w:tcPr>
            <w:tcW w:w="11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pPr>
            <w:r>
              <w:rPr/>
              <w:t>Continuing operations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(1,708.2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w:t>
            </w:r>
          </w:p>
        </w:tc>
        <w:tc>
          <w:tcPr>
            <w:tcW w:w="11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710" w:type="dxa"/>
            <w:tcBorders/>
            <w:shd w:fill="CCEEFF" w:val="clear"/>
            <w:vAlign w:val="center"/>
          </w:tcPr>
          <w:p>
            <w:pPr>
              <w:pStyle w:val="TableContents"/>
              <w:bidi w:val="0"/>
              <w:spacing w:before="0" w:after="283"/>
              <w:jc w:val="left"/>
              <w:rPr>
                <w:b/>
              </w:rPr>
            </w:pPr>
            <w:r>
              <w:rPr>
                <w:b/>
              </w:rPr>
              <w:t>Shares used in calculating net (loss) income per share — basic and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274,525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5,920,686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5,920,686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710" w:type="dxa"/>
            <w:tcBorders/>
            <w:shd w:fill="CCEEFF" w:val="clear"/>
            <w:vAlign w:val="center"/>
          </w:tcPr>
          <w:p>
            <w:pPr>
              <w:pStyle w:val="TableContents"/>
              <w:bidi w:val="0"/>
              <w:spacing w:before="0" w:after="283"/>
              <w:jc w:val="left"/>
              <w:rPr>
                <w:b/>
              </w:rPr>
            </w:pPr>
            <w:r>
              <w:rPr>
                <w:b/>
              </w:rPr>
              <w:t>Net (loss)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(470,115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7,085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710" w:type="dxa"/>
            <w:tcBorders/>
            <w:vAlign w:val="center"/>
          </w:tcPr>
          <w:p>
            <w:pPr>
              <w:pStyle w:val="TableContents"/>
              <w:bidi w:val="0"/>
              <w:spacing w:before="0" w:after="283"/>
              <w:jc w:val="left"/>
              <w:rPr/>
            </w:pPr>
            <w:r>
              <w:rPr/>
              <w:t>Other comprehensive loss, net of tax:</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710" w:type="dxa"/>
            <w:tcBorders/>
            <w:shd w:fill="CCEEFF" w:val="clear"/>
            <w:vAlign w:val="center"/>
          </w:tcPr>
          <w:p>
            <w:pPr>
              <w:pStyle w:val="TableContents"/>
              <w:bidi w:val="0"/>
              <w:spacing w:before="0" w:after="283"/>
              <w:jc w:val="left"/>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710" w:type="dxa"/>
            <w:tcBorders/>
            <w:vAlign w:val="center"/>
          </w:tcPr>
          <w:p>
            <w:pPr>
              <w:pStyle w:val="TableContents"/>
              <w:bidi w:val="0"/>
              <w:spacing w:before="0" w:after="283"/>
              <w:jc w:val="left"/>
              <w:rPr/>
            </w:pPr>
            <w:r>
              <w:rPr/>
              <w:t>Unrealized net loss on investments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(11,418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(195,603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(28,828</w:t>
            </w:r>
          </w:p>
        </w:tc>
        <w:tc>
          <w:tcPr>
            <w:tcW w:w="110" w:type="dxa"/>
            <w:tcBorders/>
            <w:vAlign w:val="center"/>
          </w:tcPr>
          <w:p>
            <w:pPr>
              <w:pStyle w:val="TableContents"/>
              <w:bidi w:val="0"/>
              <w:spacing w:before="0" w:after="283"/>
              <w:ind w:left="0" w:right="0" w:hanging="180"/>
              <w:jc w:val="left"/>
              <w:rPr/>
            </w:pPr>
            <w:r>
              <w:rPr/>
              <w:t>)</w:t>
            </w:r>
          </w:p>
        </w:tc>
      </w:tr>
      <w:tr>
        <w:trPr/>
        <w:tc>
          <w:tcPr>
            <w:tcW w:w="6710" w:type="dxa"/>
            <w:tcBorders/>
            <w:shd w:fill="CCEEFF" w:val="clear"/>
            <w:vAlign w:val="center"/>
          </w:tcPr>
          <w:p>
            <w:pPr>
              <w:pStyle w:val="TableContents"/>
              <w:bidi w:val="0"/>
              <w:spacing w:before="0" w:after="283"/>
              <w:jc w:val="left"/>
              <w:rPr>
                <w:b/>
              </w:rPr>
            </w:pPr>
            <w:r>
              <w:rPr>
                <w:b/>
              </w:rPr>
              <w:t>Total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(482,004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(150,523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(22,185</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6710" w:type="dxa"/>
            <w:tcBorders/>
            <w:vAlign w:val="center"/>
          </w:tcPr>
          <w:p>
            <w:pPr>
              <w:pStyle w:val="TableContents"/>
              <w:bidi w:val="0"/>
              <w:spacing w:before="0" w:after="283"/>
              <w:jc w:val="left"/>
              <w:rPr/>
            </w:pPr>
            <w:r>
              <w:rPr/>
              <w:t>Less: comprehensive loss attributable to the non-controlling interests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(4,406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(207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(31</w:t>
            </w:r>
          </w:p>
        </w:tc>
        <w:tc>
          <w:tcPr>
            <w:tcW w:w="110" w:type="dxa"/>
            <w:tcBorders/>
            <w:vAlign w:val="center"/>
          </w:tcPr>
          <w:p>
            <w:pPr>
              <w:pStyle w:val="TableContents"/>
              <w:bidi w:val="0"/>
              <w:spacing w:before="0" w:after="283"/>
              <w:ind w:left="0" w:right="0" w:hanging="180"/>
              <w:jc w:val="left"/>
              <w:rPr/>
            </w:pPr>
            <w:r>
              <w:rPr/>
              <w:t>)</w:t>
            </w:r>
          </w:p>
        </w:tc>
      </w:tr>
      <w:tr>
        <w:trPr/>
        <w:tc>
          <w:tcPr>
            <w:tcW w:w="6710" w:type="dxa"/>
            <w:tcBorders/>
            <w:shd w:fill="CCEEFF" w:val="clear"/>
            <w:vAlign w:val="center"/>
          </w:tcPr>
          <w:p>
            <w:pPr>
              <w:pStyle w:val="TableContents"/>
              <w:bidi w:val="0"/>
              <w:spacing w:before="0" w:after="283"/>
              <w:jc w:val="left"/>
              <w:rPr>
                <w:b/>
              </w:rPr>
            </w:pPr>
            <w:r>
              <w:rPr>
                <w:b/>
              </w:rPr>
              <w:t>Comprehensive loss attributable to the Company’s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(477,598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(150,316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(22,154</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The number of shares as of that date is retrospectively restated for the 1-for-20 reverse share split effected on June 16,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a_003"/>
      <w:bookmarkEnd w:id="8"/>
      <w:r>
        <w:rPr>
          <w:rFonts w:ascii="Times New Roman;Times;Serif" w:hAnsi="Times New Roman;Times;Serif"/>
          <w:b w:val="false"/>
          <w:i w:val="false"/>
          <w:caps w:val="false"/>
          <w:smallCaps w:val="false"/>
          <w:sz w:val="20"/>
        </w:rPr>
        <w:t>AIFU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Consolidated Statements of Changes in Shareholders’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center"/>
        <w:rPr>
          <w:caps w:val="false"/>
          <w:smallCaps w:val="false"/>
        </w:rPr>
      </w:pPr>
      <w:r>
        <w:rPr>
          <w:caps w:val="false"/>
          <w:smallCaps w:val="false"/>
        </w:rPr>
        <w:t> </w:t>
      </w:r>
    </w:p>
    <w:tbl>
      <w:tblPr>
        <w:tblW w:w="12020" w:type="dxa"/>
        <w:jc w:val="left"/>
        <w:tblInd w:w="0" w:type="dxa"/>
        <w:tblLayout w:type="fixed"/>
        <w:tblCellMar>
          <w:top w:w="0" w:type="dxa"/>
          <w:left w:w="0" w:type="dxa"/>
          <w:bottom w:w="0" w:type="dxa"/>
          <w:right w:w="0" w:type="dxa"/>
        </w:tblCellMar>
      </w:tblPr>
      <w:tblGrid>
        <w:gridCol w:w="995"/>
        <w:gridCol w:w="60"/>
        <w:gridCol w:w="72"/>
        <w:gridCol w:w="728"/>
        <w:gridCol w:w="60"/>
        <w:gridCol w:w="60"/>
        <w:gridCol w:w="69"/>
        <w:gridCol w:w="596"/>
        <w:gridCol w:w="60"/>
        <w:gridCol w:w="60"/>
        <w:gridCol w:w="72"/>
        <w:gridCol w:w="728"/>
        <w:gridCol w:w="60"/>
        <w:gridCol w:w="60"/>
        <w:gridCol w:w="82"/>
        <w:gridCol w:w="583"/>
        <w:gridCol w:w="60"/>
        <w:gridCol w:w="60"/>
        <w:gridCol w:w="70"/>
        <w:gridCol w:w="715"/>
        <w:gridCol w:w="80"/>
        <w:gridCol w:w="60"/>
        <w:gridCol w:w="98"/>
        <w:gridCol w:w="702"/>
        <w:gridCol w:w="60"/>
        <w:gridCol w:w="60"/>
        <w:gridCol w:w="97"/>
        <w:gridCol w:w="568"/>
        <w:gridCol w:w="80"/>
        <w:gridCol w:w="60"/>
        <w:gridCol w:w="65"/>
        <w:gridCol w:w="660"/>
        <w:gridCol w:w="80"/>
        <w:gridCol w:w="60"/>
        <w:gridCol w:w="60"/>
        <w:gridCol w:w="740"/>
        <w:gridCol w:w="80"/>
        <w:gridCol w:w="60"/>
        <w:gridCol w:w="136"/>
        <w:gridCol w:w="994"/>
        <w:gridCol w:w="80"/>
        <w:gridCol w:w="60"/>
        <w:gridCol w:w="77"/>
        <w:gridCol w:w="738"/>
        <w:gridCol w:w="80"/>
        <w:gridCol w:w="60"/>
        <w:gridCol w:w="60"/>
        <w:gridCol w:w="740"/>
        <w:gridCol w:w="75"/>
      </w:tblGrid>
      <w:tr>
        <w:trPr/>
        <w:tc>
          <w:tcPr>
            <w:tcW w:w="99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29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5" w:type="dxa"/>
            <w:gridSpan w:val="6"/>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Treasury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 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Statutory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Reserves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Interests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r>
          </w:p>
        </w:tc>
        <w:tc>
          <w:tcPr>
            <w:tcW w:w="7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RMB’000</w:t>
            </w:r>
          </w:p>
        </w:tc>
        <w:tc>
          <w:tcPr>
            <w:tcW w:w="7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144,917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8,678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192,760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593,691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1,789,250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(37,666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83,939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2,630,455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(465,709</w:t>
            </w:r>
          </w:p>
        </w:tc>
        <w:tc>
          <w:tcPr>
            <w:tcW w:w="8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(4,406</w:t>
            </w:r>
          </w:p>
        </w:tc>
        <w:tc>
          <w:tcPr>
            <w:tcW w:w="8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(470,115</w:t>
            </w:r>
          </w:p>
        </w:tc>
        <w:tc>
          <w:tcPr>
            <w:tcW w:w="75" w:type="dxa"/>
            <w:tcBorders/>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Foreign currency translation</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(472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(472</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16"/>
              </w:rPr>
            </w:pPr>
            <w:r>
              <w:rPr>
                <w:rFonts w:ascii="Times New Roman;Times;Serif" w:hAnsi="Times New Roman;Times;Serif"/>
                <w:b/>
                <w:sz w:val="16"/>
              </w:rPr>
              <w:t>)</w:t>
            </w:r>
          </w:p>
        </w:tc>
      </w:tr>
      <w:tr>
        <w:trPr/>
        <w:tc>
          <w:tcPr>
            <w:tcW w:w="99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Share-based compensation</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15,823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15,823</w:t>
            </w:r>
          </w:p>
        </w:tc>
        <w:tc>
          <w:tcPr>
            <w:tcW w:w="7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Exercise of restricted share units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(1,571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Disposal of subsidiaries</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(3,399</w:t>
            </w:r>
          </w:p>
        </w:tc>
        <w:tc>
          <w:tcPr>
            <w:tcW w:w="8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(47,313</w:t>
            </w:r>
          </w:p>
        </w:tc>
        <w:tc>
          <w:tcPr>
            <w:tcW w:w="8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47,313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w:t>
            </w:r>
          </w:p>
        </w:tc>
        <w:tc>
          <w:tcPr>
            <w:tcW w:w="8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(86,801</w:t>
            </w:r>
          </w:p>
        </w:tc>
        <w:tc>
          <w:tcPr>
            <w:tcW w:w="8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(90,218</w:t>
            </w:r>
          </w:p>
        </w:tc>
        <w:tc>
          <w:tcPr>
            <w:tcW w:w="75" w:type="dxa"/>
            <w:tcBorders/>
            <w:vAlign w:val="center"/>
          </w:tcPr>
          <w:p>
            <w:pPr>
              <w:pStyle w:val="TableContents"/>
              <w:bidi w:val="0"/>
              <w:spacing w:before="0" w:after="283"/>
              <w:ind w:left="0" w:right="0" w:hanging="180"/>
              <w:jc w:val="left"/>
              <w:rPr>
                <w:rFonts w:ascii="Times New Roman;Times;Serif" w:hAnsi="Times New Roman;Times;Serif"/>
                <w:b/>
                <w:sz w:val="16"/>
              </w:rPr>
            </w:pPr>
            <w:r>
              <w:rPr>
                <w:rFonts w:ascii="Times New Roman;Times;Serif" w:hAnsi="Times New Roman;Times;Serif"/>
                <w:b/>
                <w:sz w:val="16"/>
              </w:rPr>
              <w:t>)</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Subscriptions receivable for issuance of new shares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7,299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Fair value changes</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(2,477</w:t>
            </w:r>
          </w:p>
        </w:tc>
        <w:tc>
          <w:tcPr>
            <w:tcW w:w="8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(2,477</w:t>
            </w:r>
          </w:p>
        </w:tc>
        <w:tc>
          <w:tcPr>
            <w:tcW w:w="75" w:type="dxa"/>
            <w:tcBorders/>
            <w:vAlign w:val="center"/>
          </w:tcPr>
          <w:p>
            <w:pPr>
              <w:pStyle w:val="TableContents"/>
              <w:bidi w:val="0"/>
              <w:spacing w:before="0" w:after="283"/>
              <w:ind w:left="0" w:right="0" w:hanging="180"/>
              <w:jc w:val="left"/>
              <w:rPr>
                <w:rFonts w:ascii="Times New Roman;Times;Serif" w:hAnsi="Times New Roman;Times;Serif"/>
                <w:b/>
                <w:sz w:val="16"/>
              </w:rPr>
            </w:pPr>
            <w:r>
              <w:rPr>
                <w:rFonts w:ascii="Times New Roman;Times;Serif" w:hAnsi="Times New Roman;Times;Serif"/>
                <w:b/>
                <w:sz w:val="16"/>
              </w:rPr>
              <w:t>)</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as of June 30, 2025</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171,917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203,613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(197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546,378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1,370,854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(40,633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(7,268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2,090,295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545" w:type="dxa"/>
        <w:jc w:val="left"/>
        <w:tblInd w:w="0" w:type="dxa"/>
        <w:tblLayout w:type="fixed"/>
        <w:tblCellMar>
          <w:top w:w="0" w:type="dxa"/>
          <w:left w:w="0" w:type="dxa"/>
          <w:bottom w:w="0" w:type="dxa"/>
          <w:right w:w="0" w:type="dxa"/>
        </w:tblCellMar>
      </w:tblPr>
      <w:tblGrid>
        <w:gridCol w:w="965"/>
        <w:gridCol w:w="60"/>
        <w:gridCol w:w="60"/>
        <w:gridCol w:w="740"/>
        <w:gridCol w:w="60"/>
        <w:gridCol w:w="60"/>
        <w:gridCol w:w="60"/>
        <w:gridCol w:w="665"/>
        <w:gridCol w:w="80"/>
        <w:gridCol w:w="60"/>
        <w:gridCol w:w="66"/>
        <w:gridCol w:w="734"/>
        <w:gridCol w:w="80"/>
        <w:gridCol w:w="60"/>
        <w:gridCol w:w="62"/>
        <w:gridCol w:w="603"/>
        <w:gridCol w:w="80"/>
        <w:gridCol w:w="60"/>
        <w:gridCol w:w="60"/>
        <w:gridCol w:w="740"/>
        <w:gridCol w:w="60"/>
        <w:gridCol w:w="60"/>
        <w:gridCol w:w="65"/>
        <w:gridCol w:w="660"/>
        <w:gridCol w:w="60"/>
        <w:gridCol w:w="60"/>
        <w:gridCol w:w="79"/>
        <w:gridCol w:w="886"/>
        <w:gridCol w:w="80"/>
        <w:gridCol w:w="60"/>
        <w:gridCol w:w="92"/>
        <w:gridCol w:w="1038"/>
        <w:gridCol w:w="80"/>
        <w:gridCol w:w="60"/>
        <w:gridCol w:w="89"/>
        <w:gridCol w:w="726"/>
        <w:gridCol w:w="80"/>
        <w:gridCol w:w="60"/>
        <w:gridCol w:w="60"/>
        <w:gridCol w:w="740"/>
        <w:gridCol w:w="95"/>
      </w:tblGrid>
      <w:tr>
        <w:trPr/>
        <w:tc>
          <w:tcPr>
            <w:tcW w:w="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39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 Capital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Additional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w:t>
              <w:br/>
              <w:t>Other</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Non-</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r>
      <w:tr>
        <w:trPr/>
        <w:tc>
          <w:tcPr>
            <w:tcW w:w="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Number of </w:t>
              <w:br/>
              <w:t>Share*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Number of </w:t>
              <w:br/>
              <w:t>Share</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Paid-in </w:t>
              <w:b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Statutory </w:t>
              <w:br/>
              <w:t>Reserves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w:t>
              <w:br/>
              <w:t>deficit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Comprehensive </w:t>
              <w:br/>
              <w:t>Loss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controlling </w:t>
              <w:br/>
              <w:t>Interests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r>
          </w:p>
        </w:tc>
        <w:tc>
          <w:tcPr>
            <w:tcW w:w="95" w:type="dxa"/>
            <w:tcBorders/>
            <w:vAlign w:val="center"/>
          </w:tcPr>
          <w:p>
            <w:pPr>
              <w:pStyle w:val="TableContents"/>
              <w:bidi w:val="0"/>
              <w:spacing w:before="0" w:after="283"/>
              <w:jc w:val="center"/>
              <w:rPr/>
            </w:pPr>
            <w:r>
              <w:rPr/>
              <w:t> </w:t>
            </w:r>
          </w:p>
        </w:tc>
      </w:tr>
      <w:tr>
        <w:trPr/>
        <w:tc>
          <w:tcPr>
            <w:tcW w:w="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Class 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RMB’000</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Class 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RMB’000</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RMB’000</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RMB’000</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RMB’000</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RMB’000</w:t>
            </w:r>
          </w:p>
        </w:tc>
        <w:tc>
          <w:tcPr>
            <w:tcW w:w="95" w:type="dxa"/>
            <w:tcBorders/>
            <w:vAlign w:val="center"/>
          </w:tcPr>
          <w:p>
            <w:pPr>
              <w:pStyle w:val="TableContents"/>
              <w:bidi w:val="0"/>
              <w:spacing w:before="0" w:after="283"/>
              <w:ind w:left="0" w:right="0" w:hanging="180"/>
              <w:jc w:val="center"/>
              <w:rPr/>
            </w:pPr>
            <w:r>
              <w:rPr/>
              <w:t> </w:t>
            </w:r>
          </w:p>
        </w:tc>
      </w:tr>
      <w:tr>
        <w:trPr/>
        <w:tc>
          <w:tcPr>
            <w:tcW w:w="96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671,806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38,877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21,373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401,928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343,026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(235,471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(91,213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(7,384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471,136</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96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income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48,283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(207</w:t>
            </w:r>
          </w:p>
        </w:tc>
        <w:tc>
          <w:tcPr>
            <w:tcW w:w="8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48,076</w:t>
            </w:r>
          </w:p>
        </w:tc>
        <w:tc>
          <w:tcPr>
            <w:tcW w:w="95" w:type="dxa"/>
            <w:tcBorders/>
            <w:vAlign w:val="center"/>
          </w:tcPr>
          <w:p>
            <w:pPr>
              <w:pStyle w:val="TableContents"/>
              <w:bidi w:val="0"/>
              <w:spacing w:before="0" w:after="283"/>
              <w:ind w:left="0" w:right="0" w:hanging="180"/>
              <w:jc w:val="left"/>
              <w:rPr/>
            </w:pPr>
            <w:r>
              <w:rPr/>
              <w:t> </w:t>
            </w:r>
          </w:p>
        </w:tc>
      </w:tr>
      <w:tr>
        <w:trPr/>
        <w:tc>
          <w:tcPr>
            <w:tcW w:w="96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116,770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(119,766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(2,996</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6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Par value amendment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(332,383</w:t>
            </w:r>
          </w:p>
        </w:tc>
        <w:tc>
          <w:tcPr>
            <w:tcW w:w="8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(14,070</w:t>
            </w:r>
          </w:p>
        </w:tc>
        <w:tc>
          <w:tcPr>
            <w:tcW w:w="8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346,453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ind w:left="0" w:right="0" w:hanging="180"/>
              <w:jc w:val="left"/>
              <w:rPr/>
            </w:pPr>
            <w:r>
              <w:rPr/>
              <w:t> </w:t>
            </w:r>
          </w:p>
        </w:tc>
      </w:tr>
      <w:tr>
        <w:trPr/>
        <w:tc>
          <w:tcPr>
            <w:tcW w:w="96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new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5,128,942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286,285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429,428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715,713</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96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Conversion of Class B to Class A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7,299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(125,000</w:t>
            </w:r>
          </w:p>
        </w:tc>
        <w:tc>
          <w:tcPr>
            <w:tcW w:w="8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(7,299</w:t>
            </w:r>
          </w:p>
        </w:tc>
        <w:tc>
          <w:tcPr>
            <w:tcW w:w="8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ind w:left="0" w:right="0" w:hanging="180"/>
              <w:jc w:val="left"/>
              <w:rPr/>
            </w:pPr>
            <w:r>
              <w:rPr/>
              <w:t> </w:t>
            </w:r>
          </w:p>
        </w:tc>
      </w:tr>
      <w:tr>
        <w:trPr/>
        <w:tc>
          <w:tcPr>
            <w:tcW w:w="96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Subscriptions receivable for issuance of new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96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Fair value changes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(195,603</w:t>
            </w:r>
          </w:p>
        </w:tc>
        <w:tc>
          <w:tcPr>
            <w:tcW w:w="8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(195,603</w:t>
            </w:r>
          </w:p>
        </w:tc>
        <w:tc>
          <w:tcPr>
            <w:tcW w:w="95" w:type="dxa"/>
            <w:tcBorders/>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96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5,925,748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250,000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1,177,809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343,026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(70,418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(406,582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(7,591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1,036,326</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96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Balance as of June 30, 2026 in US$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bottom w:val="single" w:sz="12" w:space="0" w:color="000000"/>
            </w:tcBorders>
            <w:tcMar>
              <w:bottom w:w="28" w:type="dxa"/>
            </w:tcMar>
            <w:vAlign w:val="center"/>
          </w:tcPr>
          <w:p>
            <w:pPr>
              <w:pStyle w:val="TableContents"/>
              <w:bidi w:val="0"/>
              <w:spacing w:before="0" w:after="283"/>
              <w:jc w:val="left"/>
              <w:rPr/>
            </w:pPr>
            <w:r>
              <w:rPr/>
              <w:t> </w:t>
            </w:r>
          </w:p>
        </w:tc>
        <w:tc>
          <w:tcPr>
            <w:tcW w:w="734" w:type="dxa"/>
            <w:tcBorders>
              <w:bottom w:val="single" w:sz="12" w:space="0" w:color="000000"/>
            </w:tcBorders>
            <w:tcMar>
              <w:bottom w:w="28" w:type="dxa"/>
            </w:tcMar>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bottom w:val="single" w:sz="12" w:space="0" w:color="000000"/>
            </w:tcBorders>
            <w:tcMar>
              <w:bottom w:w="28" w:type="dxa"/>
            </w:tcMar>
            <w:vAlign w:val="center"/>
          </w:tcPr>
          <w:p>
            <w:pPr>
              <w:pStyle w:val="TableContents"/>
              <w:bidi w:val="0"/>
              <w:spacing w:before="0" w:after="283"/>
              <w:jc w:val="left"/>
              <w:rPr/>
            </w:pPr>
            <w:r>
              <w:rPr/>
              <w:t> </w:t>
            </w:r>
          </w:p>
        </w:tc>
        <w:tc>
          <w:tcPr>
            <w:tcW w:w="60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173,588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66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50,556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bottom w:val="single" w:sz="12" w:space="0" w:color="000000"/>
            </w:tcBorders>
            <w:tcMar>
              <w:bottom w:w="28" w:type="dxa"/>
            </w:tcMar>
            <w:vAlign w:val="center"/>
          </w:tcPr>
          <w:p>
            <w:pPr>
              <w:pStyle w:val="TableContents"/>
              <w:bidi w:val="0"/>
              <w:spacing w:before="0" w:after="283"/>
              <w:jc w:val="left"/>
              <w:rPr/>
            </w:pPr>
            <w:r>
              <w:rPr/>
              <w:t> </w:t>
            </w:r>
          </w:p>
        </w:tc>
        <w:tc>
          <w:tcPr>
            <w:tcW w:w="88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(10,378</w:t>
            </w:r>
          </w:p>
        </w:tc>
        <w:tc>
          <w:tcPr>
            <w:tcW w:w="80"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vAlign w:val="center"/>
          </w:tcPr>
          <w:p>
            <w:pPr>
              <w:pStyle w:val="TableContents"/>
              <w:bidi w:val="0"/>
              <w:spacing w:before="0" w:after="283"/>
              <w:jc w:val="left"/>
              <w:rPr/>
            </w:pPr>
            <w:r>
              <w:rPr/>
              <w:t> </w:t>
            </w:r>
          </w:p>
        </w:tc>
        <w:tc>
          <w:tcPr>
            <w:tcW w:w="9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(59,923</w:t>
            </w:r>
          </w:p>
        </w:tc>
        <w:tc>
          <w:tcPr>
            <w:tcW w:w="80"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vAlign w:val="center"/>
          </w:tcPr>
          <w:p>
            <w:pPr>
              <w:pStyle w:val="TableContents"/>
              <w:bidi w:val="0"/>
              <w:spacing w:before="0" w:after="283"/>
              <w:jc w:val="left"/>
              <w:rPr/>
            </w:pPr>
            <w:r>
              <w:rPr/>
              <w:t> </w:t>
            </w:r>
          </w:p>
        </w:tc>
        <w:tc>
          <w:tcPr>
            <w:tcW w:w="89" w:type="dxa"/>
            <w:tcBorders>
              <w:bottom w:val="single" w:sz="12" w:space="0" w:color="000000"/>
            </w:tcBorders>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(1,119</w:t>
            </w:r>
          </w:p>
        </w:tc>
        <w:tc>
          <w:tcPr>
            <w:tcW w:w="80"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152,736</w:t>
            </w:r>
          </w:p>
        </w:tc>
        <w:tc>
          <w:tcPr>
            <w:tcW w:w="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The amount of share capital as of December 31, 2025 is not retrospectively adjusted and the number of shares as of that date is retrospectively restated for the 1-for-20 reverse share split effected on June 16,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a_004"/>
      <w:bookmarkEnd w:id="9"/>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64"/>
        <w:gridCol w:w="60"/>
        <w:gridCol w:w="60"/>
        <w:gridCol w:w="891"/>
        <w:gridCol w:w="96"/>
        <w:gridCol w:w="60"/>
        <w:gridCol w:w="60"/>
        <w:gridCol w:w="769"/>
        <w:gridCol w:w="96"/>
        <w:gridCol w:w="60"/>
        <w:gridCol w:w="75"/>
        <w:gridCol w:w="807"/>
        <w:gridCol w:w="107"/>
      </w:tblGrid>
      <w:tr>
        <w:trPr/>
        <w:tc>
          <w:tcPr>
            <w:tcW w:w="70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07" w:type="dxa"/>
            <w:tcBorders/>
            <w:vAlign w:val="center"/>
          </w:tcPr>
          <w:p>
            <w:pPr>
              <w:pStyle w:val="TableContents"/>
              <w:bidi w:val="0"/>
              <w:spacing w:before="0" w:after="283"/>
              <w:jc w:val="left"/>
              <w:rPr/>
            </w:pPr>
            <w:r>
              <w:rPr/>
              <w:t> </w:t>
            </w:r>
          </w:p>
        </w:tc>
      </w:tr>
      <w:tr>
        <w:trPr/>
        <w:tc>
          <w:tcPr>
            <w:tcW w:w="70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jc w:val="left"/>
              <w:rPr/>
            </w:pPr>
            <w:r>
              <w:rPr/>
              <w:t> </w:t>
            </w:r>
          </w:p>
        </w:tc>
      </w:tr>
      <w:tr>
        <w:trPr/>
        <w:tc>
          <w:tcPr>
            <w:tcW w:w="70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51" w:type="dxa"/>
            <w:gridSpan w:val="2"/>
            <w:tcBorders/>
            <w:vAlign w:val="center"/>
          </w:tcPr>
          <w:p>
            <w:pPr>
              <w:pStyle w:val="TableContents"/>
              <w:bidi w:val="0"/>
              <w:spacing w:before="0" w:after="283"/>
              <w:jc w:val="center"/>
              <w:rPr>
                <w:b/>
              </w:rPr>
            </w:pPr>
            <w:r>
              <w:rPr>
                <w:b/>
              </w:rPr>
              <w:t>RMB</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 w:type="dxa"/>
            <w:gridSpan w:val="2"/>
            <w:tcBorders/>
            <w:vAlign w:val="center"/>
          </w:tcPr>
          <w:p>
            <w:pPr>
              <w:pStyle w:val="TableContents"/>
              <w:bidi w:val="0"/>
              <w:spacing w:before="0" w:after="283"/>
              <w:jc w:val="center"/>
              <w:rPr>
                <w:b/>
              </w:rPr>
            </w:pPr>
            <w:r>
              <w:rPr>
                <w:b/>
              </w:rPr>
              <w:t>RMB</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 w:type="dxa"/>
            <w:gridSpan w:val="2"/>
            <w:tcBorders/>
            <w:vAlign w:val="center"/>
          </w:tcPr>
          <w:p>
            <w:pPr>
              <w:pStyle w:val="TableContents"/>
              <w:bidi w:val="0"/>
              <w:spacing w:before="0" w:after="283"/>
              <w:jc w:val="center"/>
              <w:rPr>
                <w:b/>
              </w:rPr>
            </w:pPr>
            <w:r>
              <w:rPr>
                <w:b/>
              </w:rPr>
              <w:t>US$</w:t>
            </w:r>
          </w:p>
        </w:tc>
        <w:tc>
          <w:tcPr>
            <w:tcW w:w="107" w:type="dxa"/>
            <w:tcBorders/>
            <w:vAlign w:val="center"/>
          </w:tcPr>
          <w:p>
            <w:pPr>
              <w:pStyle w:val="TableContents"/>
              <w:bidi w:val="0"/>
              <w:spacing w:before="0" w:after="283"/>
              <w:jc w:val="left"/>
              <w:rPr/>
            </w:pPr>
            <w:r>
              <w:rPr/>
              <w:t> </w:t>
            </w:r>
          </w:p>
        </w:tc>
      </w:tr>
      <w:tr>
        <w:trPr/>
        <w:tc>
          <w:tcPr>
            <w:tcW w:w="70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51" w:type="dxa"/>
            <w:gridSpan w:val="2"/>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 w:type="dxa"/>
            <w:gridSpan w:val="2"/>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 w:type="dxa"/>
            <w:gridSpan w:val="2"/>
            <w:tcBorders/>
            <w:vAlign w:val="center"/>
          </w:tcPr>
          <w:p>
            <w:pPr>
              <w:pStyle w:val="TableContents"/>
              <w:bidi w:val="0"/>
              <w:spacing w:before="0" w:after="283"/>
              <w:jc w:val="center"/>
              <w:rPr>
                <w:b/>
              </w:rPr>
            </w:pPr>
            <w:r>
              <w:rPr>
                <w:b/>
              </w:rPr>
              <w:t>Note 2(v)</w:t>
            </w:r>
          </w:p>
        </w:tc>
        <w:tc>
          <w:tcPr>
            <w:tcW w:w="107" w:type="dxa"/>
            <w:tcBorders/>
            <w:vAlign w:val="center"/>
          </w:tcPr>
          <w:p>
            <w:pPr>
              <w:pStyle w:val="TableContents"/>
              <w:bidi w:val="0"/>
              <w:spacing w:before="0" w:after="283"/>
              <w:jc w:val="left"/>
              <w:rPr/>
            </w:pPr>
            <w:r>
              <w:rPr/>
              <w:t> </w:t>
            </w:r>
          </w:p>
        </w:tc>
      </w:tr>
      <w:tr>
        <w:trPr/>
        <w:tc>
          <w:tcPr>
            <w:tcW w:w="7064"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951"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 w:type="dxa"/>
            <w:gridSpan w:val="2"/>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ind w:left="0" w:right="0" w:hanging="180"/>
              <w:jc w:val="left"/>
              <w:rPr/>
            </w:pPr>
            <w:r>
              <w:rPr/>
              <w:t> </w:t>
            </w:r>
          </w:p>
        </w:tc>
      </w:tr>
      <w:tr>
        <w:trPr/>
        <w:tc>
          <w:tcPr>
            <w:tcW w:w="7064" w:type="dxa"/>
            <w:tcBorders/>
            <w:shd w:fill="CCEEFF" w:val="clear"/>
            <w:vAlign w:val="center"/>
          </w:tcPr>
          <w:p>
            <w:pPr>
              <w:pStyle w:val="TableContents"/>
              <w:bidi w:val="0"/>
              <w:spacing w:before="0" w:after="283"/>
              <w:jc w:val="left"/>
              <w:rPr>
                <w:b/>
              </w:rPr>
            </w:pPr>
            <w:r>
              <w:rPr>
                <w:b/>
              </w:rPr>
              <w:t>Net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(470,115</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48,076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7,085</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064" w:type="dxa"/>
            <w:tcBorders/>
            <w:vAlign w:val="center"/>
          </w:tcPr>
          <w:p>
            <w:pPr>
              <w:pStyle w:val="TableContents"/>
              <w:bidi w:val="0"/>
              <w:spacing w:before="0" w:after="283"/>
              <w:jc w:val="left"/>
              <w:rPr>
                <w:b/>
              </w:rPr>
            </w:pPr>
            <w:r>
              <w:rPr>
                <w:b/>
              </w:rPr>
              <w:t>Adjustments to reconcile net (loss) income to net cash generated from operating activities: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107" w:type="dxa"/>
            <w:tcBorders/>
            <w:vAlign w:val="center"/>
          </w:tcPr>
          <w:p>
            <w:pPr>
              <w:pStyle w:val="TableContents"/>
              <w:bidi w:val="0"/>
              <w:spacing w:before="0" w:after="283"/>
              <w:ind w:left="0" w:right="0" w:hanging="180"/>
              <w:jc w:val="left"/>
              <w:rPr/>
            </w:pPr>
            <w:r>
              <w:rPr/>
              <w:t> </w:t>
            </w:r>
          </w:p>
        </w:tc>
      </w:tr>
      <w:tr>
        <w:trPr/>
        <w:tc>
          <w:tcPr>
            <w:tcW w:w="7064"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2,433</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2,635</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388</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064" w:type="dxa"/>
            <w:tcBorders/>
            <w:vAlign w:val="center"/>
          </w:tcPr>
          <w:p>
            <w:pPr>
              <w:pStyle w:val="TableContents"/>
              <w:bidi w:val="0"/>
              <w:spacing w:before="0" w:after="283"/>
              <w:jc w:val="left"/>
              <w:rPr/>
            </w:pPr>
            <w:r>
              <w:rPr/>
              <w:t>Non-cash operating lease 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17,701</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7,824</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1,153</w:t>
            </w:r>
          </w:p>
        </w:tc>
        <w:tc>
          <w:tcPr>
            <w:tcW w:w="107" w:type="dxa"/>
            <w:tcBorders/>
            <w:vAlign w:val="center"/>
          </w:tcPr>
          <w:p>
            <w:pPr>
              <w:pStyle w:val="TableContents"/>
              <w:bidi w:val="0"/>
              <w:spacing w:before="0" w:after="283"/>
              <w:ind w:left="0" w:right="0" w:hanging="180"/>
              <w:jc w:val="left"/>
              <w:rPr/>
            </w:pPr>
            <w:r>
              <w:rPr/>
              <w:t> </w:t>
            </w:r>
          </w:p>
        </w:tc>
      </w:tr>
      <w:tr>
        <w:trPr/>
        <w:tc>
          <w:tcPr>
            <w:tcW w:w="7064" w:type="dxa"/>
            <w:tcBorders/>
            <w:shd w:fill="CCEEFF" w:val="clear"/>
            <w:vAlign w:val="center"/>
          </w:tcPr>
          <w:p>
            <w:pPr>
              <w:pStyle w:val="TableContents"/>
              <w:bidi w:val="0"/>
              <w:spacing w:before="0" w:after="283"/>
              <w:jc w:val="left"/>
              <w:rPr/>
            </w:pPr>
            <w:r>
              <w:rPr/>
              <w:t>Loss on termination of operating lease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331</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064" w:type="dxa"/>
            <w:tcBorders/>
            <w:vAlign w:val="center"/>
          </w:tcPr>
          <w:p>
            <w:pPr>
              <w:pStyle w:val="TableContents"/>
              <w:bidi w:val="0"/>
              <w:spacing w:before="0" w:after="283"/>
              <w:jc w:val="left"/>
              <w:rPr/>
            </w:pPr>
            <w:r>
              <w:rPr/>
              <w:t>Allowance for (Reversal of) credit losses on financial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486,734</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(4,153</w:t>
            </w:r>
          </w:p>
        </w:tc>
        <w:tc>
          <w:tcPr>
            <w:tcW w:w="96"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(611</w:t>
            </w:r>
          </w:p>
        </w:tc>
        <w:tc>
          <w:tcPr>
            <w:tcW w:w="107" w:type="dxa"/>
            <w:tcBorders/>
            <w:vAlign w:val="center"/>
          </w:tcPr>
          <w:p>
            <w:pPr>
              <w:pStyle w:val="TableContents"/>
              <w:bidi w:val="0"/>
              <w:spacing w:before="0" w:after="283"/>
              <w:ind w:left="0" w:right="0" w:hanging="180"/>
              <w:jc w:val="left"/>
              <w:rPr/>
            </w:pPr>
            <w:r>
              <w:rPr/>
              <w:t>)</w:t>
            </w:r>
          </w:p>
        </w:tc>
      </w:tr>
      <w:tr>
        <w:trPr/>
        <w:tc>
          <w:tcPr>
            <w:tcW w:w="7064" w:type="dxa"/>
            <w:tcBorders/>
            <w:shd w:fill="CCEEFF" w:val="clear"/>
            <w:vAlign w:val="center"/>
          </w:tcPr>
          <w:p>
            <w:pPr>
              <w:pStyle w:val="TableContents"/>
              <w:bidi w:val="0"/>
              <w:spacing w:before="0" w:after="283"/>
              <w:jc w:val="left"/>
              <w:rPr/>
            </w:pPr>
            <w:r>
              <w:rPr/>
              <w:t>Share-based compensation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15,823</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064" w:type="dxa"/>
            <w:tcBorders/>
            <w:vAlign w:val="center"/>
          </w:tcPr>
          <w:p>
            <w:pPr>
              <w:pStyle w:val="TableContents"/>
              <w:bidi w:val="0"/>
              <w:spacing w:before="0" w:after="283"/>
              <w:jc w:val="left"/>
              <w:rPr/>
            </w:pPr>
            <w:r>
              <w:rPr/>
              <w:t>(Gain) Loss on disposal of property, plant and equipment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(1,196</w:t>
            </w:r>
          </w:p>
        </w:tc>
        <w:tc>
          <w:tcPr>
            <w:tcW w:w="96"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127</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19</w:t>
            </w:r>
          </w:p>
        </w:tc>
        <w:tc>
          <w:tcPr>
            <w:tcW w:w="107" w:type="dxa"/>
            <w:tcBorders/>
            <w:vAlign w:val="center"/>
          </w:tcPr>
          <w:p>
            <w:pPr>
              <w:pStyle w:val="TableContents"/>
              <w:bidi w:val="0"/>
              <w:spacing w:before="0" w:after="283"/>
              <w:ind w:left="0" w:right="0" w:hanging="180"/>
              <w:jc w:val="left"/>
              <w:rPr/>
            </w:pPr>
            <w:r>
              <w:rPr/>
              <w:t> </w:t>
            </w:r>
          </w:p>
        </w:tc>
      </w:tr>
      <w:tr>
        <w:trPr/>
        <w:tc>
          <w:tcPr>
            <w:tcW w:w="7064" w:type="dxa"/>
            <w:tcBorders/>
            <w:shd w:fill="CCEEFF" w:val="clear"/>
            <w:vAlign w:val="center"/>
          </w:tcPr>
          <w:p>
            <w:pPr>
              <w:pStyle w:val="TableContents"/>
              <w:bidi w:val="0"/>
              <w:spacing w:before="0" w:after="283"/>
              <w:jc w:val="left"/>
              <w:rPr/>
            </w:pPr>
            <w:r>
              <w:rPr/>
              <w:t>Change in fair value of equity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24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4</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064" w:type="dxa"/>
            <w:tcBorders/>
            <w:vAlign w:val="center"/>
          </w:tcPr>
          <w:p>
            <w:pPr>
              <w:pStyle w:val="TableContents"/>
              <w:bidi w:val="0"/>
              <w:spacing w:before="0" w:after="283"/>
              <w:jc w:val="left"/>
              <w:rPr/>
            </w:pPr>
            <w:r>
              <w:rPr/>
              <w:t>Investment (income)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(5,025</w:t>
            </w:r>
          </w:p>
        </w:tc>
        <w:tc>
          <w:tcPr>
            <w:tcW w:w="96"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805</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119</w:t>
            </w:r>
          </w:p>
        </w:tc>
        <w:tc>
          <w:tcPr>
            <w:tcW w:w="107" w:type="dxa"/>
            <w:tcBorders/>
            <w:vAlign w:val="center"/>
          </w:tcPr>
          <w:p>
            <w:pPr>
              <w:pStyle w:val="TableContents"/>
              <w:bidi w:val="0"/>
              <w:spacing w:before="0" w:after="283"/>
              <w:ind w:left="0" w:right="0" w:hanging="180"/>
              <w:jc w:val="left"/>
              <w:rPr/>
            </w:pPr>
            <w:r>
              <w:rPr/>
              <w:t> </w:t>
            </w:r>
          </w:p>
        </w:tc>
      </w:tr>
      <w:tr>
        <w:trPr/>
        <w:tc>
          <w:tcPr>
            <w:tcW w:w="7064" w:type="dxa"/>
            <w:tcBorders/>
            <w:shd w:fill="CCEEFF" w:val="clear"/>
            <w:vAlign w:val="center"/>
          </w:tcPr>
          <w:p>
            <w:pPr>
              <w:pStyle w:val="TableContents"/>
              <w:bidi w:val="0"/>
              <w:spacing w:before="0" w:after="283"/>
              <w:jc w:val="left"/>
              <w:rPr/>
            </w:pPr>
            <w:r>
              <w:rPr/>
              <w:t>Net gain on disposal of subsidiaries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(9,543</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064" w:type="dxa"/>
            <w:tcBorders/>
            <w:vAlign w:val="center"/>
          </w:tcPr>
          <w:p>
            <w:pPr>
              <w:pStyle w:val="TableContents"/>
              <w:bidi w:val="0"/>
              <w:spacing w:before="0" w:after="283"/>
              <w:jc w:val="left"/>
              <w:rPr/>
            </w:pPr>
            <w:r>
              <w:rPr/>
              <w:t>Loss on disposal of investment in an associate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4,330</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w:t>
            </w:r>
          </w:p>
        </w:tc>
        <w:tc>
          <w:tcPr>
            <w:tcW w:w="107" w:type="dxa"/>
            <w:tcBorders/>
            <w:vAlign w:val="center"/>
          </w:tcPr>
          <w:p>
            <w:pPr>
              <w:pStyle w:val="TableContents"/>
              <w:bidi w:val="0"/>
              <w:spacing w:before="0" w:after="283"/>
              <w:ind w:left="0" w:right="0" w:hanging="180"/>
              <w:jc w:val="left"/>
              <w:rPr/>
            </w:pPr>
            <w:r>
              <w:rPr/>
              <w:t> </w:t>
            </w:r>
          </w:p>
        </w:tc>
      </w:tr>
      <w:tr>
        <w:trPr/>
        <w:tc>
          <w:tcPr>
            <w:tcW w:w="7064" w:type="dxa"/>
            <w:tcBorders/>
            <w:shd w:fill="CCEEFF" w:val="clear"/>
            <w:vAlign w:val="center"/>
          </w:tcPr>
          <w:p>
            <w:pPr>
              <w:pStyle w:val="TableContents"/>
              <w:bidi w:val="0"/>
              <w:spacing w:before="0" w:after="283"/>
              <w:jc w:val="left"/>
              <w:rPr/>
            </w:pPr>
            <w:r>
              <w:rPr/>
              <w:t>Deferred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(6,476</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(10,086</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(1,486</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7064" w:type="dxa"/>
            <w:tcBorders/>
            <w:vAlign w:val="center"/>
          </w:tcPr>
          <w:p>
            <w:pPr>
              <w:pStyle w:val="TableContents"/>
              <w:bidi w:val="0"/>
              <w:spacing w:before="0" w:after="283"/>
              <w:jc w:val="left"/>
              <w:rPr/>
            </w:pPr>
            <w:r>
              <w:rPr/>
              <w:t>Interest accrued for other receivables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(17,503</w:t>
            </w:r>
          </w:p>
        </w:tc>
        <w:tc>
          <w:tcPr>
            <w:tcW w:w="96"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w:t>
            </w:r>
          </w:p>
        </w:tc>
        <w:tc>
          <w:tcPr>
            <w:tcW w:w="107" w:type="dxa"/>
            <w:tcBorders/>
            <w:vAlign w:val="center"/>
          </w:tcPr>
          <w:p>
            <w:pPr>
              <w:pStyle w:val="TableContents"/>
              <w:bidi w:val="0"/>
              <w:spacing w:before="0" w:after="283"/>
              <w:ind w:left="0" w:right="0" w:hanging="180"/>
              <w:jc w:val="left"/>
              <w:rPr/>
            </w:pPr>
            <w:r>
              <w:rPr/>
              <w:t> </w:t>
            </w:r>
          </w:p>
        </w:tc>
      </w:tr>
      <w:tr>
        <w:trPr/>
        <w:tc>
          <w:tcPr>
            <w:tcW w:w="7064" w:type="dxa"/>
            <w:tcBorders/>
            <w:shd w:fill="CCEEFF" w:val="clear"/>
            <w:vAlign w:val="center"/>
          </w:tcPr>
          <w:p>
            <w:pPr>
              <w:pStyle w:val="TableContents"/>
              <w:bidi w:val="0"/>
              <w:spacing w:before="0" w:after="283"/>
              <w:jc w:val="left"/>
              <w:rPr>
                <w:b/>
              </w:rPr>
            </w:pPr>
            <w:r>
              <w:rPr>
                <w:b/>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064" w:type="dxa"/>
            <w:tcBorders/>
            <w:vAlign w:val="center"/>
          </w:tcPr>
          <w:p>
            <w:pPr>
              <w:pStyle w:val="TableContents"/>
              <w:bidi w:val="0"/>
              <w:spacing w:before="0" w:after="283"/>
              <w:jc w:val="left"/>
              <w:rPr/>
            </w:pPr>
            <w:r>
              <w:rPr/>
              <w:t>Accounts receivable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13,040</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(6,267</w:t>
            </w:r>
          </w:p>
        </w:tc>
        <w:tc>
          <w:tcPr>
            <w:tcW w:w="96"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(924</w:t>
            </w:r>
          </w:p>
        </w:tc>
        <w:tc>
          <w:tcPr>
            <w:tcW w:w="107" w:type="dxa"/>
            <w:tcBorders/>
            <w:vAlign w:val="center"/>
          </w:tcPr>
          <w:p>
            <w:pPr>
              <w:pStyle w:val="TableContents"/>
              <w:bidi w:val="0"/>
              <w:spacing w:before="0" w:after="283"/>
              <w:ind w:left="0" w:right="0" w:hanging="180"/>
              <w:jc w:val="left"/>
              <w:rPr/>
            </w:pPr>
            <w:r>
              <w:rPr/>
              <w:t>)</w:t>
            </w:r>
          </w:p>
        </w:tc>
      </w:tr>
      <w:tr>
        <w:trPr/>
        <w:tc>
          <w:tcPr>
            <w:tcW w:w="7064" w:type="dxa"/>
            <w:tcBorders/>
            <w:shd w:fill="CCEEFF" w:val="clear"/>
            <w:vAlign w:val="center"/>
          </w:tcPr>
          <w:p>
            <w:pPr>
              <w:pStyle w:val="TableContents"/>
              <w:bidi w:val="0"/>
              <w:spacing w:before="0" w:after="283"/>
              <w:jc w:val="left"/>
              <w:rPr/>
            </w:pPr>
            <w:r>
              <w:rPr/>
              <w:t>Contract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132,264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67,816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9,995</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064" w:type="dxa"/>
            <w:tcBorders/>
            <w:vAlign w:val="center"/>
          </w:tcPr>
          <w:p>
            <w:pPr>
              <w:pStyle w:val="TableContents"/>
              <w:bidi w:val="0"/>
              <w:spacing w:before="0" w:after="283"/>
              <w:jc w:val="left"/>
              <w:rPr/>
            </w:pPr>
            <w:r>
              <w:rPr/>
              <w:t>Other receivables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(113,270</w:t>
            </w:r>
          </w:p>
        </w:tc>
        <w:tc>
          <w:tcPr>
            <w:tcW w:w="96"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(6,288</w:t>
            </w:r>
          </w:p>
        </w:tc>
        <w:tc>
          <w:tcPr>
            <w:tcW w:w="96"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(927</w:t>
            </w:r>
          </w:p>
        </w:tc>
        <w:tc>
          <w:tcPr>
            <w:tcW w:w="107" w:type="dxa"/>
            <w:tcBorders/>
            <w:vAlign w:val="center"/>
          </w:tcPr>
          <w:p>
            <w:pPr>
              <w:pStyle w:val="TableContents"/>
              <w:bidi w:val="0"/>
              <w:spacing w:before="0" w:after="283"/>
              <w:ind w:left="0" w:right="0" w:hanging="180"/>
              <w:jc w:val="left"/>
              <w:rPr/>
            </w:pPr>
            <w:r>
              <w:rPr/>
              <w:t>)</w:t>
            </w:r>
          </w:p>
        </w:tc>
      </w:tr>
      <w:tr>
        <w:trPr/>
        <w:tc>
          <w:tcPr>
            <w:tcW w:w="7064"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221,672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3,658</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538</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064" w:type="dxa"/>
            <w:tcBorders/>
            <w:vAlign w:val="center"/>
          </w:tcPr>
          <w:p>
            <w:pPr>
              <w:pStyle w:val="TableContents"/>
              <w:bidi w:val="0"/>
              <w:spacing w:before="0" w:after="283"/>
              <w:jc w:val="left"/>
              <w:rPr/>
            </w:pPr>
            <w:r>
              <w:rPr/>
              <w:t>Other non-current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(187,284</w:t>
            </w:r>
          </w:p>
        </w:tc>
        <w:tc>
          <w:tcPr>
            <w:tcW w:w="96"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225</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33</w:t>
            </w:r>
          </w:p>
        </w:tc>
        <w:tc>
          <w:tcPr>
            <w:tcW w:w="107" w:type="dxa"/>
            <w:tcBorders/>
            <w:vAlign w:val="center"/>
          </w:tcPr>
          <w:p>
            <w:pPr>
              <w:pStyle w:val="TableContents"/>
              <w:bidi w:val="0"/>
              <w:spacing w:before="0" w:after="283"/>
              <w:ind w:left="0" w:right="0" w:hanging="180"/>
              <w:jc w:val="left"/>
              <w:rPr/>
            </w:pPr>
            <w:r>
              <w:rPr/>
              <w:t> </w:t>
            </w:r>
          </w:p>
        </w:tc>
      </w:tr>
      <w:tr>
        <w:trPr/>
        <w:tc>
          <w:tcPr>
            <w:tcW w:w="7064"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(26,915</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(36,479</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(5,377</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7064" w:type="dxa"/>
            <w:tcBorders/>
            <w:vAlign w:val="center"/>
          </w:tcPr>
          <w:p>
            <w:pPr>
              <w:pStyle w:val="TableContents"/>
              <w:bidi w:val="0"/>
              <w:spacing w:before="0" w:after="283"/>
              <w:jc w:val="left"/>
              <w:rPr/>
            </w:pPr>
            <w:r>
              <w:rPr/>
              <w:t>Accrued commissions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(48,060</w:t>
            </w:r>
          </w:p>
        </w:tc>
        <w:tc>
          <w:tcPr>
            <w:tcW w:w="96"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(13,307</w:t>
            </w:r>
          </w:p>
        </w:tc>
        <w:tc>
          <w:tcPr>
            <w:tcW w:w="96"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(1,961</w:t>
            </w:r>
          </w:p>
        </w:tc>
        <w:tc>
          <w:tcPr>
            <w:tcW w:w="107" w:type="dxa"/>
            <w:tcBorders/>
            <w:vAlign w:val="center"/>
          </w:tcPr>
          <w:p>
            <w:pPr>
              <w:pStyle w:val="TableContents"/>
              <w:bidi w:val="0"/>
              <w:spacing w:before="0" w:after="283"/>
              <w:ind w:left="0" w:right="0" w:hanging="180"/>
              <w:jc w:val="left"/>
              <w:rPr/>
            </w:pPr>
            <w:r>
              <w:rPr/>
              <w:t>)</w:t>
            </w:r>
          </w:p>
        </w:tc>
      </w:tr>
      <w:tr>
        <w:trPr/>
        <w:tc>
          <w:tcPr>
            <w:tcW w:w="7064" w:type="dxa"/>
            <w:tcBorders/>
            <w:shd w:fill="CCEEFF" w:val="clear"/>
            <w:vAlign w:val="center"/>
          </w:tcPr>
          <w:p>
            <w:pPr>
              <w:pStyle w:val="TableContents"/>
              <w:bidi w:val="0"/>
              <w:spacing w:before="0" w:after="283"/>
              <w:jc w:val="left"/>
              <w:rPr/>
            </w:pPr>
            <w:r>
              <w:rPr/>
              <w:t>Insurance premium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(278</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064" w:type="dxa"/>
            <w:tcBorders/>
            <w:vAlign w:val="center"/>
          </w:tcPr>
          <w:p>
            <w:pPr>
              <w:pStyle w:val="TableContents"/>
              <w:bidi w:val="0"/>
              <w:spacing w:before="0" w:after="283"/>
              <w:jc w:val="left"/>
              <w:rPr/>
            </w:pPr>
            <w:r>
              <w:rPr/>
              <w:t>Other payables and accrued expenses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38,907</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(45,836</w:t>
            </w:r>
          </w:p>
        </w:tc>
        <w:tc>
          <w:tcPr>
            <w:tcW w:w="96"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(6,756</w:t>
            </w:r>
          </w:p>
        </w:tc>
        <w:tc>
          <w:tcPr>
            <w:tcW w:w="107" w:type="dxa"/>
            <w:tcBorders/>
            <w:vAlign w:val="center"/>
          </w:tcPr>
          <w:p>
            <w:pPr>
              <w:pStyle w:val="TableContents"/>
              <w:bidi w:val="0"/>
              <w:spacing w:before="0" w:after="283"/>
              <w:ind w:left="0" w:right="0" w:hanging="180"/>
              <w:jc w:val="left"/>
              <w:rPr/>
            </w:pPr>
            <w:r>
              <w:rPr/>
              <w:t>)</w:t>
            </w:r>
          </w:p>
        </w:tc>
      </w:tr>
      <w:tr>
        <w:trPr/>
        <w:tc>
          <w:tcPr>
            <w:tcW w:w="7064" w:type="dxa"/>
            <w:tcBorders/>
            <w:shd w:fill="CCEEFF" w:val="clear"/>
            <w:vAlign w:val="center"/>
          </w:tcPr>
          <w:p>
            <w:pPr>
              <w:pStyle w:val="TableContents"/>
              <w:bidi w:val="0"/>
              <w:spacing w:before="0" w:after="283"/>
              <w:jc w:val="left"/>
              <w:rPr/>
            </w:pPr>
            <w:r>
              <w:rPr/>
              <w:t>Accrued payroll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(6,248</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(6,157</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(907</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7064" w:type="dxa"/>
            <w:tcBorders/>
            <w:vAlign w:val="center"/>
          </w:tcPr>
          <w:p>
            <w:pPr>
              <w:pStyle w:val="TableContents"/>
              <w:bidi w:val="0"/>
              <w:spacing w:before="0" w:after="283"/>
              <w:jc w:val="left"/>
              <w:rPr/>
            </w:pPr>
            <w:r>
              <w:rPr/>
              <w:t>Income taxes payable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15,396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8,488</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1,251</w:t>
            </w:r>
          </w:p>
        </w:tc>
        <w:tc>
          <w:tcPr>
            <w:tcW w:w="107" w:type="dxa"/>
            <w:tcBorders/>
            <w:vAlign w:val="center"/>
          </w:tcPr>
          <w:p>
            <w:pPr>
              <w:pStyle w:val="TableContents"/>
              <w:bidi w:val="0"/>
              <w:spacing w:before="0" w:after="283"/>
              <w:ind w:left="0" w:right="0" w:hanging="180"/>
              <w:jc w:val="left"/>
              <w:rPr/>
            </w:pPr>
            <w:r>
              <w:rPr/>
              <w:t> </w:t>
            </w:r>
          </w:p>
        </w:tc>
      </w:tr>
      <w:tr>
        <w:trPr/>
        <w:tc>
          <w:tcPr>
            <w:tcW w:w="7064"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(17,935</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(7,344</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(1,082</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7064" w:type="dxa"/>
            <w:tcBorders/>
            <w:vAlign w:val="center"/>
          </w:tcPr>
          <w:p>
            <w:pPr>
              <w:pStyle w:val="TableContents"/>
              <w:bidi w:val="0"/>
              <w:spacing w:before="0" w:after="283"/>
              <w:jc w:val="left"/>
              <w:rPr/>
            </w:pPr>
            <w:r>
              <w:rPr/>
              <w:t>Tax liabilities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91" w:type="dxa"/>
            <w:tcBorders>
              <w:bottom w:val="single" w:sz="12" w:space="0" w:color="000000"/>
            </w:tcBorders>
            <w:tcMar>
              <w:bottom w:w="28" w:type="dxa"/>
            </w:tcMar>
            <w:vAlign w:val="center"/>
          </w:tcPr>
          <w:p>
            <w:pPr>
              <w:pStyle w:val="TableContents"/>
              <w:bidi w:val="0"/>
              <w:spacing w:before="0" w:after="283"/>
              <w:jc w:val="right"/>
              <w:rPr/>
            </w:pPr>
            <w:r>
              <w:rPr/>
              <w:t>(37,298</w:t>
            </w:r>
          </w:p>
        </w:tc>
        <w:tc>
          <w:tcPr>
            <w:tcW w:w="96"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69" w:type="dxa"/>
            <w:tcBorders>
              <w:bottom w:val="single" w:sz="12" w:space="0" w:color="000000"/>
            </w:tcBorders>
            <w:tcMar>
              <w:bottom w:w="28" w:type="dxa"/>
            </w:tcMar>
            <w:vAlign w:val="center"/>
          </w:tcPr>
          <w:p>
            <w:pPr>
              <w:pStyle w:val="TableContents"/>
              <w:bidi w:val="0"/>
              <w:spacing w:before="0" w:after="283"/>
              <w:jc w:val="right"/>
              <w:rPr/>
            </w:pPr>
            <w:r>
              <w:rPr/>
              <w:t>—</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tcMar>
              <w:bottom w:w="28" w:type="dxa"/>
            </w:tcMar>
            <w:vAlign w:val="center"/>
          </w:tcPr>
          <w:p>
            <w:pPr>
              <w:pStyle w:val="TableContents"/>
              <w:bidi w:val="0"/>
              <w:spacing w:before="0" w:after="283"/>
              <w:jc w:val="right"/>
              <w:rPr/>
            </w:pPr>
            <w:r>
              <w:rPr/>
              <w:t>—</w:t>
            </w:r>
          </w:p>
        </w:tc>
        <w:tc>
          <w:tcPr>
            <w:tcW w:w="107" w:type="dxa"/>
            <w:tcBorders/>
            <w:vAlign w:val="center"/>
          </w:tcPr>
          <w:p>
            <w:pPr>
              <w:pStyle w:val="TableContents"/>
              <w:bidi w:val="0"/>
              <w:spacing w:before="0" w:after="283"/>
              <w:ind w:left="0" w:right="0" w:hanging="180"/>
              <w:jc w:val="left"/>
              <w:rPr/>
            </w:pPr>
            <w:r>
              <w:rPr/>
              <w:t> </w:t>
            </w:r>
          </w:p>
        </w:tc>
      </w:tr>
      <w:tr>
        <w:trPr/>
        <w:tc>
          <w:tcPr>
            <w:tcW w:w="7064" w:type="dxa"/>
            <w:tcBorders/>
            <w:shd w:fill="CCEEFF" w:val="clear"/>
            <w:vAlign w:val="center"/>
          </w:tcPr>
          <w:p>
            <w:pPr>
              <w:pStyle w:val="TableContents"/>
              <w:bidi w:val="0"/>
              <w:spacing w:before="0" w:after="283"/>
              <w:jc w:val="left"/>
              <w:rPr>
                <w:b/>
              </w:rPr>
            </w:pPr>
            <w:r>
              <w:rPr>
                <w:b/>
              </w:rPr>
              <w:t>Net cash generated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1,485</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3,761</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554</w:t>
            </w:r>
          </w:p>
        </w:tc>
        <w:tc>
          <w:tcPr>
            <w:tcW w:w="10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25"/>
        <w:gridCol w:w="60"/>
        <w:gridCol w:w="60"/>
        <w:gridCol w:w="875"/>
        <w:gridCol w:w="95"/>
        <w:gridCol w:w="60"/>
        <w:gridCol w:w="60"/>
        <w:gridCol w:w="875"/>
        <w:gridCol w:w="95"/>
        <w:gridCol w:w="60"/>
        <w:gridCol w:w="65"/>
        <w:gridCol w:w="870"/>
        <w:gridCol w:w="105"/>
      </w:tblGrid>
      <w:tr>
        <w:trPr/>
        <w:tc>
          <w:tcPr>
            <w:tcW w:w="6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05" w:type="dxa"/>
            <w:tcBorders/>
            <w:vAlign w:val="center"/>
          </w:tcPr>
          <w:p>
            <w:pPr>
              <w:pStyle w:val="TableContents"/>
              <w:bidi w:val="0"/>
              <w:spacing w:before="0" w:after="283"/>
              <w:jc w:val="left"/>
              <w:rPr/>
            </w:pPr>
            <w:r>
              <w:rPr/>
              <w:t> </w:t>
            </w:r>
          </w:p>
        </w:tc>
      </w:tr>
      <w:tr>
        <w:trPr/>
        <w:tc>
          <w:tcPr>
            <w:tcW w:w="6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5" w:type="dxa"/>
            <w:tcBorders/>
            <w:vAlign w:val="center"/>
          </w:tcPr>
          <w:p>
            <w:pPr>
              <w:pStyle w:val="TableContents"/>
              <w:bidi w:val="0"/>
              <w:spacing w:before="0" w:after="283"/>
              <w:jc w:val="left"/>
              <w:rPr/>
            </w:pPr>
            <w:r>
              <w:rPr/>
              <w:t> </w:t>
            </w:r>
          </w:p>
        </w:tc>
      </w:tr>
      <w:tr>
        <w:trPr/>
        <w:tc>
          <w:tcPr>
            <w:tcW w:w="6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US$</w:t>
            </w:r>
          </w:p>
        </w:tc>
        <w:tc>
          <w:tcPr>
            <w:tcW w:w="105" w:type="dxa"/>
            <w:tcBorders/>
            <w:vAlign w:val="center"/>
          </w:tcPr>
          <w:p>
            <w:pPr>
              <w:pStyle w:val="TableContents"/>
              <w:bidi w:val="0"/>
              <w:spacing w:before="0" w:after="283"/>
              <w:jc w:val="left"/>
              <w:rPr/>
            </w:pPr>
            <w:r>
              <w:rPr/>
              <w:t> </w:t>
            </w:r>
          </w:p>
        </w:tc>
      </w:tr>
      <w:tr>
        <w:trPr/>
        <w:tc>
          <w:tcPr>
            <w:tcW w:w="6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Note 2(v)</w:t>
            </w:r>
          </w:p>
        </w:tc>
        <w:tc>
          <w:tcPr>
            <w:tcW w:w="105" w:type="dxa"/>
            <w:tcBorders/>
            <w:vAlign w:val="center"/>
          </w:tcPr>
          <w:p>
            <w:pPr>
              <w:pStyle w:val="TableContents"/>
              <w:bidi w:val="0"/>
              <w:spacing w:before="0" w:after="283"/>
              <w:jc w:val="left"/>
              <w:rPr/>
            </w:pPr>
            <w:r>
              <w:rPr/>
              <w:t> </w:t>
            </w:r>
          </w:p>
        </w:tc>
      </w:tr>
      <w:tr>
        <w:trPr/>
        <w:tc>
          <w:tcPr>
            <w:tcW w:w="6925" w:type="dxa"/>
            <w:tcBorders/>
            <w:vAlign w:val="center"/>
          </w:tcPr>
          <w:p>
            <w:pPr>
              <w:pStyle w:val="TableContents"/>
              <w:bidi w:val="0"/>
              <w:spacing w:before="0" w:after="283"/>
              <w:jc w:val="left"/>
              <w:rPr>
                <w:b/>
              </w:rPr>
            </w:pPr>
            <w:r>
              <w:rPr>
                <w:b/>
              </w:rPr>
              <w:t>Cash flows from investing activities:</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Purchase of short-term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(56,943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(536</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6925" w:type="dxa"/>
            <w:tcBorders/>
            <w:vAlign w:val="center"/>
          </w:tcPr>
          <w:p>
            <w:pPr>
              <w:pStyle w:val="TableContents"/>
              <w:bidi w:val="0"/>
              <w:spacing w:before="0" w:after="283"/>
              <w:jc w:val="left"/>
              <w:rPr/>
            </w:pPr>
            <w:r>
              <w:rPr/>
              <w:t>Proceeds from disposal of short-term investments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93,318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7,682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1,132</w:t>
            </w:r>
          </w:p>
        </w:tc>
        <w:tc>
          <w:tcPr>
            <w:tcW w:w="105" w:type="dxa"/>
            <w:tcBorders/>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(299</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6925" w:type="dxa"/>
            <w:tcBorders/>
            <w:vAlign w:val="center"/>
          </w:tcPr>
          <w:p>
            <w:pPr>
              <w:pStyle w:val="TableContents"/>
              <w:bidi w:val="0"/>
              <w:spacing w:before="0" w:after="283"/>
              <w:jc w:val="left"/>
              <w:rPr/>
            </w:pPr>
            <w:r>
              <w:rPr/>
              <w:t>Proceeds from disposal of property, plant and equipment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1,374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5</w:t>
            </w:r>
          </w:p>
        </w:tc>
        <w:tc>
          <w:tcPr>
            <w:tcW w:w="105" w:type="dxa"/>
            <w:tcBorders/>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Cash paid out for loan receivables from third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(121,539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(17,913</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6925" w:type="dxa"/>
            <w:tcBorders/>
            <w:vAlign w:val="center"/>
          </w:tcPr>
          <w:p>
            <w:pPr>
              <w:pStyle w:val="TableContents"/>
              <w:bidi w:val="0"/>
              <w:spacing w:before="0" w:after="283"/>
              <w:jc w:val="left"/>
              <w:rPr/>
            </w:pPr>
            <w:r>
              <w:rPr/>
              <w:t>Cash received for loan receivables from third parties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4,740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699</w:t>
            </w:r>
          </w:p>
        </w:tc>
        <w:tc>
          <w:tcPr>
            <w:tcW w:w="105" w:type="dxa"/>
            <w:tcBorders/>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Payment for business acquisitions, net of cash acquired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(150,018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(22,110</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6925" w:type="dxa"/>
            <w:tcBorders/>
            <w:vAlign w:val="center"/>
          </w:tcPr>
          <w:p>
            <w:pPr>
              <w:pStyle w:val="TableContents"/>
              <w:bidi w:val="0"/>
              <w:spacing w:before="0" w:after="283"/>
              <w:jc w:val="left"/>
              <w:rPr/>
            </w:pPr>
            <w:r>
              <w:rPr/>
              <w:t>Increase in amounts due from related parties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(10,414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(961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(141</w:t>
            </w:r>
          </w:p>
        </w:tc>
        <w:tc>
          <w:tcPr>
            <w:tcW w:w="105" w:type="dxa"/>
            <w:tcBorders/>
            <w:vAlign w:val="center"/>
          </w:tcPr>
          <w:p>
            <w:pPr>
              <w:pStyle w:val="TableContents"/>
              <w:bidi w:val="0"/>
              <w:spacing w:before="0" w:after="283"/>
              <w:ind w:left="0" w:right="0" w:hanging="180"/>
              <w:jc w:val="left"/>
              <w:rPr/>
            </w:pPr>
            <w:r>
              <w:rPr/>
              <w:t>)</w:t>
            </w:r>
          </w:p>
        </w:tc>
      </w:tr>
      <w:tr>
        <w:trPr/>
        <w:tc>
          <w:tcPr>
            <w:tcW w:w="6925" w:type="dxa"/>
            <w:tcBorders/>
            <w:shd w:fill="CCEEFF" w:val="clear"/>
            <w:vAlign w:val="center"/>
          </w:tcPr>
          <w:p>
            <w:pPr>
              <w:pStyle w:val="TableContents"/>
              <w:bidi w:val="0"/>
              <w:spacing w:before="0" w:after="283"/>
              <w:jc w:val="left"/>
              <w:rPr/>
            </w:pPr>
            <w:r>
              <w:rPr/>
              <w:t>Decrease in amounts due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101</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vAlign w:val="center"/>
          </w:tcPr>
          <w:p>
            <w:pPr>
              <w:pStyle w:val="TableContents"/>
              <w:bidi w:val="0"/>
              <w:spacing w:before="0" w:after="283"/>
              <w:jc w:val="left"/>
              <w:rPr/>
            </w:pPr>
            <w:r>
              <w:rPr/>
              <w:t>Disposal of subsidiaries, net of cash disposed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(131,068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w:t>
            </w:r>
          </w:p>
        </w:tc>
        <w:tc>
          <w:tcPr>
            <w:tcW w:w="105" w:type="dxa"/>
            <w:tcBorders/>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Consideration received in respect of subsidiaries disposed of in the prior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38,240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5,636</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vAlign w:val="center"/>
          </w:tcPr>
          <w:p>
            <w:pPr>
              <w:pStyle w:val="TableContents"/>
              <w:bidi w:val="0"/>
              <w:spacing w:before="0" w:after="283"/>
              <w:jc w:val="left"/>
              <w:rPr/>
            </w:pPr>
            <w:r>
              <w:rPr/>
              <w:t>Cash received from disposal of an equity investment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354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w:t>
            </w:r>
          </w:p>
        </w:tc>
        <w:tc>
          <w:tcPr>
            <w:tcW w:w="105" w:type="dxa"/>
            <w:tcBorders/>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Cash acquired on non-cash acquisitions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vAlign w:val="center"/>
          </w:tcPr>
          <w:p>
            <w:pPr>
              <w:pStyle w:val="TableContents"/>
              <w:bidi w:val="0"/>
              <w:spacing w:before="0" w:after="283"/>
              <w:jc w:val="left"/>
              <w:rPr>
                <w:b/>
              </w:rPr>
            </w:pPr>
            <w:r>
              <w:rPr>
                <w:b/>
              </w:rPr>
              <w:t>Net cash used in investing activities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(104,411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(226,803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tcMar>
              <w:bottom w:w="28" w:type="dxa"/>
            </w:tcMar>
            <w:vAlign w:val="center"/>
          </w:tcPr>
          <w:p>
            <w:pPr>
              <w:pStyle w:val="TableContents"/>
              <w:bidi w:val="0"/>
              <w:spacing w:before="0" w:after="283"/>
              <w:jc w:val="right"/>
              <w:rPr/>
            </w:pPr>
            <w:r>
              <w:rPr/>
              <w:t>(33,426</w:t>
            </w:r>
          </w:p>
        </w:tc>
        <w:tc>
          <w:tcPr>
            <w:tcW w:w="105" w:type="dxa"/>
            <w:tcBorders/>
            <w:vAlign w:val="center"/>
          </w:tcPr>
          <w:p>
            <w:pPr>
              <w:pStyle w:val="TableContents"/>
              <w:bidi w:val="0"/>
              <w:spacing w:before="0" w:after="283"/>
              <w:ind w:left="0" w:right="0" w:hanging="180"/>
              <w:jc w:val="left"/>
              <w:rPr/>
            </w:pPr>
            <w:r>
              <w:rPr/>
              <w:t>)</w:t>
            </w:r>
          </w:p>
        </w:tc>
      </w:tr>
      <w:tr>
        <w:trPr/>
        <w:tc>
          <w:tcPr>
            <w:tcW w:w="6925"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vAlign w:val="center"/>
          </w:tcPr>
          <w:p>
            <w:pPr>
              <w:pStyle w:val="TableContents"/>
              <w:bidi w:val="0"/>
              <w:spacing w:before="0" w:after="283"/>
              <w:jc w:val="left"/>
              <w:rPr/>
            </w:pPr>
            <w:r>
              <w:rPr/>
              <w:t>Proceeds of issuance of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7,299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234,688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34,589</w:t>
            </w:r>
          </w:p>
        </w:tc>
        <w:tc>
          <w:tcPr>
            <w:tcW w:w="105" w:type="dxa"/>
            <w:tcBorders/>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Repayment of bank and other 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(52,926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(9</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6925" w:type="dxa"/>
            <w:tcBorders/>
            <w:vAlign w:val="center"/>
          </w:tcPr>
          <w:p>
            <w:pPr>
              <w:pStyle w:val="TableContents"/>
              <w:bidi w:val="0"/>
              <w:spacing w:before="0" w:after="283"/>
              <w:jc w:val="left"/>
              <w:rPr/>
            </w:pPr>
            <w:r>
              <w:rPr/>
              <w:t>Payments of deferred offering costs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(1,205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tcMar>
              <w:bottom w:w="28" w:type="dxa"/>
            </w:tcMar>
            <w:vAlign w:val="center"/>
          </w:tcPr>
          <w:p>
            <w:pPr>
              <w:pStyle w:val="TableContents"/>
              <w:bidi w:val="0"/>
              <w:spacing w:before="0" w:after="283"/>
              <w:jc w:val="right"/>
              <w:rPr/>
            </w:pPr>
            <w:r>
              <w:rPr/>
              <w:t>(178</w:t>
            </w:r>
          </w:p>
        </w:tc>
        <w:tc>
          <w:tcPr>
            <w:tcW w:w="105" w:type="dxa"/>
            <w:tcBorders/>
            <w:vAlign w:val="center"/>
          </w:tcPr>
          <w:p>
            <w:pPr>
              <w:pStyle w:val="TableContents"/>
              <w:bidi w:val="0"/>
              <w:spacing w:before="0" w:after="283"/>
              <w:ind w:left="0" w:right="0" w:hanging="180"/>
              <w:jc w:val="left"/>
              <w:rPr/>
            </w:pPr>
            <w:r>
              <w:rPr/>
              <w:t>)</w:t>
            </w:r>
          </w:p>
        </w:tc>
      </w:tr>
      <w:tr>
        <w:trPr/>
        <w:tc>
          <w:tcPr>
            <w:tcW w:w="6925" w:type="dxa"/>
            <w:tcBorders/>
            <w:shd w:fill="CCEEFF" w:val="clear"/>
            <w:vAlign w:val="center"/>
          </w:tcPr>
          <w:p>
            <w:pPr>
              <w:pStyle w:val="TableContents"/>
              <w:bidi w:val="0"/>
              <w:spacing w:before="0" w:after="283"/>
              <w:jc w:val="left"/>
              <w:rPr>
                <w:b/>
              </w:rPr>
            </w:pPr>
            <w:r>
              <w:rPr>
                <w:b/>
              </w:rPr>
              <w:t>Net cash (used in) generated from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(45,627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233,424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shd w:fill="CCEEFF" w:val="clear"/>
            <w:tcMar>
              <w:bottom w:w="28" w:type="dxa"/>
            </w:tcMar>
            <w:vAlign w:val="center"/>
          </w:tcPr>
          <w:p>
            <w:pPr>
              <w:pStyle w:val="TableContents"/>
              <w:bidi w:val="0"/>
              <w:spacing w:before="0" w:after="283"/>
              <w:jc w:val="right"/>
              <w:rPr/>
            </w:pPr>
            <w:r>
              <w:rPr/>
              <w:t>34,402</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vAlign w:val="center"/>
          </w:tcPr>
          <w:p>
            <w:pPr>
              <w:pStyle w:val="TableContents"/>
              <w:bidi w:val="0"/>
              <w:spacing w:before="0" w:after="283"/>
              <w:jc w:val="left"/>
              <w:rPr>
                <w:b/>
              </w:rPr>
            </w:pPr>
            <w:r>
              <w:rPr>
                <w:b/>
              </w:rPr>
              <w:t>Net (decrease) increase in cash and cash equivalents, and restricted cash</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(148,553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10,382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tcMar>
              <w:bottom w:w="28" w:type="dxa"/>
            </w:tcMar>
            <w:vAlign w:val="center"/>
          </w:tcPr>
          <w:p>
            <w:pPr>
              <w:pStyle w:val="TableContents"/>
              <w:bidi w:val="0"/>
              <w:spacing w:before="0" w:after="283"/>
              <w:jc w:val="right"/>
              <w:rPr/>
            </w:pPr>
            <w:r>
              <w:rPr/>
              <w:t>1,530</w:t>
            </w:r>
          </w:p>
        </w:tc>
        <w:tc>
          <w:tcPr>
            <w:tcW w:w="105" w:type="dxa"/>
            <w:tcBorders/>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b/>
              </w:rPr>
            </w:pPr>
            <w:r>
              <w:rPr>
                <w:b/>
              </w:rPr>
              <w:t>Cash and cash equivalents and restricted cash at beginning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245,744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50,256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7,407</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vAlign w:val="center"/>
          </w:tcPr>
          <w:p>
            <w:pPr>
              <w:pStyle w:val="TableContents"/>
              <w:bidi w:val="0"/>
              <w:spacing w:before="0" w:after="283"/>
              <w:jc w:val="left"/>
              <w:rPr/>
            </w:pPr>
            <w:r>
              <w:rPr/>
              <w:t>Effect of exchange rate changes on cash and cash equivalents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(552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(7,856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tcMar>
              <w:bottom w:w="28" w:type="dxa"/>
            </w:tcMar>
            <w:vAlign w:val="center"/>
          </w:tcPr>
          <w:p>
            <w:pPr>
              <w:pStyle w:val="TableContents"/>
              <w:bidi w:val="0"/>
              <w:spacing w:before="0" w:after="283"/>
              <w:jc w:val="right"/>
              <w:rPr/>
            </w:pPr>
            <w:r>
              <w:rPr/>
              <w:t>(1,158</w:t>
            </w:r>
          </w:p>
        </w:tc>
        <w:tc>
          <w:tcPr>
            <w:tcW w:w="105" w:type="dxa"/>
            <w:tcBorders/>
            <w:vAlign w:val="center"/>
          </w:tcPr>
          <w:p>
            <w:pPr>
              <w:pStyle w:val="TableContents"/>
              <w:bidi w:val="0"/>
              <w:spacing w:before="0" w:after="283"/>
              <w:ind w:left="0" w:right="0" w:hanging="180"/>
              <w:jc w:val="left"/>
              <w:rPr/>
            </w:pPr>
            <w:r>
              <w:rPr/>
              <w:t>)</w:t>
            </w:r>
          </w:p>
        </w:tc>
      </w:tr>
      <w:tr>
        <w:trPr/>
        <w:tc>
          <w:tcPr>
            <w:tcW w:w="6925" w:type="dxa"/>
            <w:tcBorders/>
            <w:shd w:fill="CCEEFF" w:val="clear"/>
            <w:vAlign w:val="center"/>
          </w:tcPr>
          <w:p>
            <w:pPr>
              <w:pStyle w:val="TableContents"/>
              <w:bidi w:val="0"/>
              <w:spacing w:before="0" w:after="283"/>
              <w:jc w:val="left"/>
              <w:rPr>
                <w:b/>
              </w:rPr>
            </w:pPr>
            <w:r>
              <w:rPr>
                <w:b/>
              </w:rPr>
              <w:t>Cash and cash equivalents and restricted cash at the end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96,639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52,782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shd w:fill="CCEEFF" w:val="clear"/>
            <w:tcMar>
              <w:bottom w:w="28" w:type="dxa"/>
            </w:tcMar>
            <w:vAlign w:val="center"/>
          </w:tcPr>
          <w:p>
            <w:pPr>
              <w:pStyle w:val="TableContents"/>
              <w:bidi w:val="0"/>
              <w:spacing w:before="0" w:after="283"/>
              <w:jc w:val="right"/>
              <w:rPr/>
            </w:pPr>
            <w:r>
              <w:rPr/>
              <w:t>7,779</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vAlign w:val="center"/>
          </w:tcPr>
          <w:p>
            <w:pPr>
              <w:pStyle w:val="TableContents"/>
              <w:bidi w:val="0"/>
              <w:spacing w:before="0" w:after="283"/>
              <w:jc w:val="left"/>
              <w:rPr>
                <w:b/>
              </w:rPr>
            </w:pPr>
            <w:r>
              <w:rPr>
                <w:b/>
              </w:rPr>
              <w:t>Reconciliation in amounts on the consolidated balance sheets: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Cash and cash equivalents at the end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77,292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33,326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4,912</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vAlign w:val="center"/>
          </w:tcPr>
          <w:p>
            <w:pPr>
              <w:pStyle w:val="TableContents"/>
              <w:bidi w:val="0"/>
              <w:spacing w:before="0" w:after="283"/>
              <w:jc w:val="left"/>
              <w:rPr/>
            </w:pPr>
            <w:r>
              <w:rPr/>
              <w:t>Restricted cash at the end of the period</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19,347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19,456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tcMar>
              <w:bottom w:w="28" w:type="dxa"/>
            </w:tcMar>
            <w:vAlign w:val="center"/>
          </w:tcPr>
          <w:p>
            <w:pPr>
              <w:pStyle w:val="TableContents"/>
              <w:bidi w:val="0"/>
              <w:spacing w:before="0" w:after="283"/>
              <w:jc w:val="right"/>
              <w:rPr/>
            </w:pPr>
            <w:r>
              <w:rPr/>
              <w:t>2,867</w:t>
            </w:r>
          </w:p>
        </w:tc>
        <w:tc>
          <w:tcPr>
            <w:tcW w:w="105" w:type="dxa"/>
            <w:tcBorders/>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b/>
              </w:rPr>
            </w:pPr>
            <w:r>
              <w:rPr>
                <w:b/>
              </w:rPr>
              <w:t>Total of cash and cash equivalents and restricted cash at the end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96,639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52,782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shd w:fill="CCEEFF" w:val="clear"/>
            <w:tcMar>
              <w:bottom w:w="28" w:type="dxa"/>
            </w:tcMar>
            <w:vAlign w:val="center"/>
          </w:tcPr>
          <w:p>
            <w:pPr>
              <w:pStyle w:val="TableContents"/>
              <w:bidi w:val="0"/>
              <w:spacing w:before="0" w:after="283"/>
              <w:jc w:val="right"/>
              <w:rPr/>
            </w:pPr>
            <w:r>
              <w:rPr/>
              <w:t>7,779</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vAlign w:val="center"/>
          </w:tcPr>
          <w:p>
            <w:pPr>
              <w:pStyle w:val="TableContents"/>
              <w:bidi w:val="0"/>
              <w:spacing w:before="0" w:after="283"/>
              <w:jc w:val="left"/>
              <w:rPr>
                <w:b/>
              </w:rPr>
            </w:pPr>
            <w:r>
              <w:rPr>
                <w:b/>
              </w:rPr>
              <w:t>Supplemental disclosure of cash flow information: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Income taxes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(10,264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(9,609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(1,416</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6925" w:type="dxa"/>
            <w:tcBorders/>
            <w:vAlign w:val="center"/>
          </w:tcPr>
          <w:p>
            <w:pPr>
              <w:pStyle w:val="TableContents"/>
              <w:bidi w:val="0"/>
              <w:spacing w:before="0" w:after="283"/>
              <w:jc w:val="left"/>
              <w:rPr/>
            </w:pPr>
            <w:r>
              <w:rPr/>
              <w:t>Interests paid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(440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(65</w:t>
            </w:r>
          </w:p>
        </w:tc>
        <w:tc>
          <w:tcPr>
            <w:tcW w:w="105" w:type="dxa"/>
            <w:tcBorders/>
            <w:vAlign w:val="center"/>
          </w:tcPr>
          <w:p>
            <w:pPr>
              <w:pStyle w:val="TableContents"/>
              <w:bidi w:val="0"/>
              <w:spacing w:before="0" w:after="283"/>
              <w:ind w:left="0" w:right="0" w:hanging="180"/>
              <w:jc w:val="left"/>
              <w:rPr/>
            </w:pPr>
            <w:r>
              <w:rPr/>
              <w:t>)</w:t>
            </w:r>
          </w:p>
        </w:tc>
      </w:tr>
      <w:tr>
        <w:trPr/>
        <w:tc>
          <w:tcPr>
            <w:tcW w:w="6925" w:type="dxa"/>
            <w:tcBorders/>
            <w:shd w:fill="CCEEFF" w:val="clear"/>
            <w:vAlign w:val="center"/>
          </w:tcPr>
          <w:p>
            <w:pPr>
              <w:pStyle w:val="TableContents"/>
              <w:bidi w:val="0"/>
              <w:spacing w:before="0" w:after="283"/>
              <w:jc w:val="left"/>
              <w:rPr>
                <w:b/>
              </w:rPr>
            </w:pPr>
            <w:r>
              <w:rPr>
                <w:b/>
              </w:rPr>
              <w:t>Supplemental disclosure of non-cash information: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vAlign w:val="center"/>
          </w:tcPr>
          <w:p>
            <w:pPr>
              <w:pStyle w:val="TableContents"/>
              <w:bidi w:val="0"/>
              <w:spacing w:before="0" w:after="283"/>
              <w:jc w:val="left"/>
              <w:rPr/>
            </w:pPr>
            <w:r>
              <w:rPr/>
              <w:t>Right-of-use assets obtained in exchange for lease liabilities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14,988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418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62</w:t>
            </w:r>
          </w:p>
        </w:tc>
        <w:tc>
          <w:tcPr>
            <w:tcW w:w="105" w:type="dxa"/>
            <w:tcBorders/>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Assets acquired  through the issuance of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715,713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105,483</w:t>
            </w:r>
          </w:p>
        </w:tc>
        <w:tc>
          <w:tcPr>
            <w:tcW w:w="10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a_005"/>
      <w:bookmarkEnd w:id="10"/>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Organization </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90"/>
        <w:gridCol w:w="3710"/>
      </w:tblGrid>
      <w:tr>
        <w:trPr/>
        <w:tc>
          <w:tcPr>
            <w:tcW w:w="290" w:type="dxa"/>
            <w:tcBorders/>
            <w:vAlign w:val="center"/>
          </w:tcPr>
          <w:p>
            <w:pPr>
              <w:pStyle w:val="TableContents"/>
              <w:bidi w:val="0"/>
              <w:spacing w:before="0" w:after="283"/>
              <w:jc w:val="left"/>
              <w:rPr>
                <w:i/>
                <w:sz w:val="20"/>
              </w:rPr>
            </w:pPr>
            <w:r>
              <w:rPr>
                <w:i/>
                <w:sz w:val="20"/>
              </w:rPr>
              <w:t>(a)</w:t>
            </w:r>
          </w:p>
        </w:tc>
        <w:tc>
          <w:tcPr>
            <w:tcW w:w="3710" w:type="dxa"/>
            <w:tcBorders/>
            <w:vAlign w:val="center"/>
          </w:tcPr>
          <w:p>
            <w:pPr>
              <w:pStyle w:val="TableContents"/>
              <w:bidi w:val="0"/>
              <w:spacing w:before="0" w:after="283"/>
              <w:jc w:val="both"/>
              <w:rPr>
                <w:i/>
                <w:sz w:val="20"/>
              </w:rPr>
            </w:pPr>
            <w:r>
              <w:rPr>
                <w:i/>
                <w:sz w:val="20"/>
              </w:rPr>
              <w:t>History of the Company and Reorganization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AIFU Inc. (the “Company”) (formally known as “AIX Inc.” and “Fanhua Inc.”) was incorporated in the Cayman Islands on April 10, 2007 and listed on the Nasdaq on October 31, 2007. On October 31, 2024, the Company changed its name from Fanhua Inc. to AIX Inc. On April 17, 2025, the Company changed its name from AIX Inc. to AIFU Inc. The Company and its subsidiaries are collectively referred to as the “Group”. The Group is principally engaged in the provision of agency services in the People’s Republic of China (the “PRC”).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 leading independent financial services platform in China, operating principally through its wholly-owned PRC subsidiaries, including Fanhua Group Company and its subsidiaries. The Group distributes life, and non-life insurance products on behalf of insurance companies through its network of licensed insurance agents. The Group’s operations expanded to include the distribution and sale of health and wellness products after the acquisition of a premium inventory of dark tea products on January 9, 2026. As of June 30, 2026, the Group identified two reportable segments:(i) the insurance agency segment: (2) health and wellness segment.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through Fanhua Group Company, had controlling equity ownership in one insurance sales services company with a national operating license, three regional insurance agencies and two insurance brokerage firms.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Share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21, 2025, the Company effected a 1-for-400 reverse share split, with fractional shares rounded up to the nearest whole share. (“First Reverse Share Split”)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16, 2026, the Company effected a 1-for-20 reverse share split, with fractional shares rounded up to the nearest whole share (“Second Reverse Share Split”, together with First Reverse Share Split, collectively referred to as “Reverse Share Splits”)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all share, per share amounts and prices herein for all periods presented have been retroactively adjusted to reflect the cumulative effect of these Reverse Share Splits.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transactions have materially affected the composition, scope of consolidation, or control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2025, the Group disposed of its 100% equity interests in Guangdong Meidiya Investment Co., Ltd. (“Meidiya”), which held approximately 44.7% of the equity interests of Fanhua Insurance Surveyors &amp; Loss Adjustors Co., Ltd. (“FHISLA”) and its subsidiaries (collectively referred to as the “Disposal Group”), to a third party for a total cash consideration of RMB30,240. The Disposed Group historically constituted the Group’s claims-adjusting segment, over which the Group exercised control through a series of act-in-concert arrangements. Accordingly, the Group deconsolidated the Disposed Group with effect from January 1, 2025 and no longer conducts any operations in the claims-adjusting business.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27, 2024, as part of the share exchange transaction with BGM Group Ltd. (“BGM”), the Group transferred all of its interests in Fanhua RONs (Beijing) Technology Co., Ltd. (“Fanhua RONS Technologies”) and Shenzhen Xinbao Investment Co., Ltd. (“Xinbao Investment”) and its subsidiaries (the “former VIEs”) to BGM in exchange for Class A ordinary shares of BGM. The historical contractual arrangements among (x) the Group’s wholly-owned PRC subsidiary Fanhua Group Company and Fanlian Investment, (y) the former consolidated VIEs, and (z) the individual nominee shareholders of the consolidated VIEs (the “Contractual Arrangements”) were subsequently terminated. The Group has had no VIE structure since that date.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of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27, 2023, securities exchange agreements (the “Agreements”) were entered into by and among MAASE Inc. (“MAASE”, formerly known as “Highest Performances Holdings Inc.” and “Puyi Inc.”) and certain shareholders of the Company (the “Selling Shareholders”). Pursuant to the Agreements, MAASE issued and allotted to the Selling Shareholders an aggregate of 3,156,814 MAASE’s Class A ordinary shares (as adjusted for MAASE’s 1-for-90 reverse share split effective June 20, 2025), and in exchange, the Selling Shareholders sold to MAASE an aggregate of 71,029 Class A ordinary shares of the Company that they beneficially owned (the “Transaction”). The transaction was closed on December 31, 2023. As a result, MAASE became the controlling shareholder of the Company, owning approximately 50.07% of the Company’s equity interests at that date.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 2025, the Company issued 125,000 Class B ordinary shares, of which 63,750 to MAASE and 61,250 were issued to Infinew Limited, at a price of US$8 per share, for a total consideration of US$1,000. As a result, MAASE owned 51.67% of the Company’s equity interests, representing 51.01% of the Company’s voting power at that date. On March 17, 2026 and May 6, 2026, MAASE and Infinew Limited each converted all of their respective Class B ordinary shares to Class A ordinary shares on a one-for-one basis.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22, 2025, the Company issued 250,000 Class B ordinary shares to Expansion Group Ltd (“Expansion”), at a price of US$8 per share, for a total consideration of US$2,000, pursuant to a share subscription agreement dated November 7, 2025. As a result, Expansion replaced MAASE to become the controlling shareholder of the Company, owning approximately 23.88% of the Company’s equity interests and approximately 65.49% of the Company’s voting power at that date.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Expansion owned approximately 4.05% of the Company’s equity interests and 80.87% of the aggregate voting power of the Company and remained to be the controlling shareholder of the Company.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1440" w:right="0" w:hanging="72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05"/>
        <w:gridCol w:w="275"/>
        <w:gridCol w:w="3440"/>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i/>
                <w:sz w:val="20"/>
              </w:rPr>
            </w:pPr>
            <w:r>
              <w:rPr>
                <w:b/>
                <w:i/>
                <w:sz w:val="20"/>
              </w:rPr>
              <w:t>(a)</w:t>
            </w:r>
          </w:p>
        </w:tc>
        <w:tc>
          <w:tcPr>
            <w:tcW w:w="3440" w:type="dxa"/>
            <w:tcBorders/>
            <w:vAlign w:val="center"/>
          </w:tcPr>
          <w:p>
            <w:pPr>
              <w:pStyle w:val="TableContents"/>
              <w:bidi w:val="0"/>
              <w:spacing w:before="0" w:after="283"/>
              <w:jc w:val="both"/>
              <w:rPr>
                <w:b/>
                <w:i/>
                <w:sz w:val="20"/>
              </w:rPr>
            </w:pPr>
            <w:r>
              <w:rPr>
                <w:b/>
                <w:i/>
                <w:sz w:val="20"/>
              </w:rPr>
              <w:t>Basis of Presentation and Consolidation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unaudited consolidated financial statements of the Group have been prepared in accordance with accounting principles generally accepted in the United States of America (“US GAAP”). The unaudited consolidated financial statements include the financial statements of the Company, all of its subsidiaries and those VIEs of which the Company is the primary beneficiary from the dates they were acquired or incorporated. All intercompany balances and transactions have been eliminated in consolidation. A subsidiary is an entity in which (i) the Company directly or indirectly controls more than 50% of the voting power; or (ii) the Company has the power to appoint or remove the majority of the members of the board of directors or to cast a majority of votes at the meeting of the board of directors or to govern the financial and operating policies of the investee pursuant to a statute or under an agreement among the shareholders or equity holders.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December 27, 2024, in order to comply with the PRC laws and regulations which prohibit or restrict foreign control of companies involved in provision of internet content and other restricted businesses, the Group operates certain of its businesses which are subject to restrictions in the PRC through PRC domestic companies, whose equity interests are held by certain individuals (“Nominee Shareholders”). The Group obtained control over these PRC domestic companies by entering into a series of contractual arrangements with these PRC domestic companies and their respective Nominee Shareholders. Management concluded that these PRC domestic companies are former consolidated VIEs of the Group, of which the Group is the primary beneficiary. As such, the Group consolidated the financial results of these PRC domestic companies and their subsidiaries in the Group’s consolidated financial statements. See Note 13 for details.</w:t>
      </w:r>
    </w:p>
    <w:p>
      <w:pPr>
        <w:pStyle w:val="TextBody"/>
        <w:bidi w:val="0"/>
        <w:spacing w:before="0" w:after="0"/>
        <w:ind w:left="0" w:right="0" w:firstLine="357"/>
        <w:jc w:val="both"/>
        <w:rPr>
          <w:caps w:val="false"/>
          <w:smallCaps w:val="false"/>
        </w:rPr>
      </w:pPr>
      <w:r>
        <w:rPr>
          <w:caps w:val="false"/>
          <w:smallCaps w:val="false"/>
        </w:rPr>
        <w:t> </w:t>
      </w:r>
    </w:p>
    <w:p>
      <w:pPr>
        <w:pStyle w:val="TextBody"/>
        <w:bidi w:val="0"/>
        <w:spacing w:before="0" w:after="0"/>
        <w:ind w:left="0" w:right="0" w:firstLine="357"/>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firstLine="357"/>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firstLine="357"/>
        <w:jc w:val="both"/>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245"/>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sz w:val="20"/>
              </w:rPr>
            </w:pPr>
            <w:r>
              <w:rPr>
                <w:b/>
                <w:i/>
                <w:sz w:val="20"/>
              </w:rPr>
              <w:t>(b)</w:t>
            </w:r>
          </w:p>
        </w:tc>
        <w:tc>
          <w:tcPr>
            <w:tcW w:w="1400" w:type="dxa"/>
            <w:tcBorders/>
            <w:vAlign w:val="center"/>
          </w:tcPr>
          <w:p>
            <w:pPr>
              <w:pStyle w:val="TableContents"/>
              <w:bidi w:val="0"/>
              <w:spacing w:before="0" w:after="283"/>
              <w:jc w:val="both"/>
              <w:rPr>
                <w:b/>
                <w:i/>
                <w:sz w:val="20"/>
              </w:rPr>
            </w:pPr>
            <w:r>
              <w:rPr>
                <w:b/>
                <w:i/>
                <w:sz w:val="20"/>
              </w:rPr>
              <w:t>Use of Estimates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On an ongoing basis, management reviews these estimates and assumptions using the currently available information. Changes in facts and circumstances may cause the Group to revise its estimates. In accordance with ASC 250, the changes in estimates will be recognized in the same period of changes in facts and circumstances. The Group bases its estimates on past experiences and on various other assumptions that are believed to be reasonable, the results of which form the basis for making judgments about the carrying values of assets and liabilities. Estimates are used when accounting for items and matters including, but not limited to, estimates on variable renewal commissions for long-term life insurance products, allowance for credit losses, valuation and recognition of share-based compensation expenses, the useful lives of property, plant and equipment, impairment of long-lived assets, short term investment and valuation allowance for deferred tax assets.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105"/>
        <w:gridCol w:w="260"/>
        <w:gridCol w:w="4085"/>
      </w:tblGrid>
      <w:tr>
        <w:trPr/>
        <w:tc>
          <w:tcPr>
            <w:tcW w:w="10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b/>
                <w:i/>
                <w:sz w:val="20"/>
              </w:rPr>
            </w:pPr>
            <w:r>
              <w:rPr>
                <w:b/>
                <w:i/>
                <w:sz w:val="20"/>
              </w:rPr>
              <w:t>(c)</w:t>
            </w:r>
          </w:p>
        </w:tc>
        <w:tc>
          <w:tcPr>
            <w:tcW w:w="4085" w:type="dxa"/>
            <w:tcBorders/>
            <w:vAlign w:val="center"/>
          </w:tcPr>
          <w:p>
            <w:pPr>
              <w:pStyle w:val="TableContents"/>
              <w:bidi w:val="0"/>
              <w:spacing w:before="0" w:after="283"/>
              <w:jc w:val="both"/>
              <w:rPr>
                <w:b/>
                <w:i/>
                <w:sz w:val="20"/>
              </w:rPr>
            </w:pPr>
            <w:r>
              <w:rPr>
                <w:b/>
                <w:i/>
                <w:sz w:val="20"/>
              </w:rPr>
              <w:t>Cash and Cash Equivalents and Restricted Cash</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cash on hand and bank deposits, which have original maturities of three months or less, and that are readily convertible to known amounts of cash and have insignificant risk of changes in value related to changes in interest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its capacity as an insurance agent, the Group collects premiums from the insureds and remits the premiums to the appropriate insurance companies. Accordingly, as reported in the unaudited consolidated balance sheets, “premiums” are receivables from the insureds of RMB3 as of December 31, 2025 and RMB448 as of June 30,2026, respectively. Unremitted net insurance premiums are held in a fiduciary capacity until disbursed by the Group. The Group invests these unremitted funds only in cash accounts held for a short term and reports such amounts as restricted cash in the unaudited consolidated balance sheets. Also restricted cash balance includes guarantee deposit required by the National Financial Regulatory Administration which replaces the China Banking and Insurance Regulatory Commission as the regulatory body since May 2023 in order to protect insurance premium appropriation by insurance agency which is restricted as to withdrawal for other than current operations. Thus, the Group classified the balance for guarantee deposit as a non-current asset. The balance for guarantee was RMB19,158 as of December 31, 2025 and RMB19,008 as of June 30,2026, respectively.  </w:t>
      </w:r>
    </w:p>
    <w:p>
      <w:pPr>
        <w:pStyle w:val="TextBody"/>
        <w:bidi w:val="0"/>
        <w:spacing w:before="0" w:after="0"/>
        <w:ind w:left="0" w:right="0" w:firstLine="36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105"/>
        <w:gridCol w:w="275"/>
        <w:gridCol w:w="2045"/>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i/>
                <w:sz w:val="20"/>
              </w:rPr>
            </w:pPr>
            <w:r>
              <w:rPr>
                <w:b/>
                <w:i/>
                <w:sz w:val="20"/>
              </w:rPr>
              <w:t>(d)</w:t>
            </w:r>
          </w:p>
        </w:tc>
        <w:tc>
          <w:tcPr>
            <w:tcW w:w="2045" w:type="dxa"/>
            <w:tcBorders/>
            <w:vAlign w:val="center"/>
          </w:tcPr>
          <w:p>
            <w:pPr>
              <w:pStyle w:val="TableContents"/>
              <w:bidi w:val="0"/>
              <w:spacing w:before="0" w:after="283"/>
              <w:jc w:val="both"/>
              <w:rPr>
                <w:b/>
                <w:i/>
                <w:sz w:val="20"/>
              </w:rPr>
            </w:pPr>
            <w:r>
              <w:rPr>
                <w:b/>
                <w:i/>
                <w:sz w:val="20"/>
              </w:rPr>
              <w:t>Short Term Investments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investments with original maturities less than twelve months or investments that are expected to be realized in cash during the next twelve months are classified as short-term investments. The Group accounts for short-term debt investments in accordance with ASC Topic 320, </w:t>
      </w:r>
      <w:r>
        <w:rPr>
          <w:rFonts w:ascii="Times New Roman;Times;Serif" w:hAnsi="Times New Roman;Times;Serif"/>
          <w:b w:val="false"/>
          <w:i/>
          <w:caps w:val="false"/>
          <w:smallCaps w:val="false"/>
          <w:sz w:val="20"/>
        </w:rPr>
        <w:t>Investments – Debt Securities</w:t>
      </w:r>
      <w:r>
        <w:rPr>
          <w:rFonts w:ascii="Times New Roman;Times;Serif" w:hAnsi="Times New Roman;Times;Serif"/>
          <w:b w:val="false"/>
          <w:i w:val="false"/>
          <w:caps w:val="false"/>
          <w:smallCaps w:val="false"/>
          <w:sz w:val="20"/>
        </w:rPr>
        <w:t xml:space="preserve"> (“ASC 320”). The Group classifies the short-term investments in debt securities as held-to-maturity or available-for-sale, whose classification determines the respective accounting methods stipulated by ASC 320. Dividend and interest income for all categories of investments in securities are included in earnings. Any realized gains or losses on the sale of the short-term investments are determined on a specific identification method, and such gains and losses are reflected in earnings during the period in which gains or losses are realized.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evaluates each individual available-for-sale debt securities periodically for impairment. For investments where the Group does not intend to sell, the Group evaluates whether a decline in fair value is due to deterioration in credit risk. Credit-related impairment losses, not to exceed the amount that fair value is less than the amortized cost basis, are recognized through an allowance for credit losses on the unaudited consolidated balance sheets with corresponding adjustment in the unaudited consolidated statements of (loss) income and comprehensive (loss) income. Subsequent increases in fair value due to credit improvement are recognized through reversal of the credit loss and corresponding reduction in the allowance for credit loss. Any decline in fair value that is non-credit related is recorded in accumulated other comprehensive loss as a component of shareholder’s equity. As of June 30, 2026, there were no investments held by the Group that had been in continuous unrealized loss position.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impairment loss on short term investments of nil was identified for the six months ended June 30, 2025 and 2026, respectively. </w:t>
      </w:r>
    </w:p>
    <w:p>
      <w:pPr>
        <w:pStyle w:val="TextBody"/>
        <w:bidi w:val="0"/>
        <w:spacing w:before="0" w:after="0"/>
        <w:ind w:left="0" w:right="0" w:firstLine="36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230"/>
        <w:gridCol w:w="38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b/>
                <w:i/>
                <w:sz w:val="20"/>
              </w:rPr>
            </w:pPr>
            <w:r>
              <w:rPr>
                <w:b/>
                <w:i/>
                <w:sz w:val="20"/>
              </w:rPr>
              <w:t>(e)</w:t>
            </w:r>
          </w:p>
        </w:tc>
        <w:tc>
          <w:tcPr>
            <w:tcW w:w="3800" w:type="dxa"/>
            <w:tcBorders/>
            <w:vAlign w:val="center"/>
          </w:tcPr>
          <w:p>
            <w:pPr>
              <w:pStyle w:val="TableContents"/>
              <w:bidi w:val="0"/>
              <w:spacing w:before="0" w:after="283"/>
              <w:jc w:val="both"/>
              <w:rPr>
                <w:b/>
                <w:i/>
                <w:sz w:val="20"/>
              </w:rPr>
            </w:pPr>
            <w:r>
              <w:rPr>
                <w:b/>
                <w:i/>
                <w:sz w:val="20"/>
              </w:rPr>
              <w:t>Accounts Receivable and Contract Assets, net</w:t>
            </w:r>
          </w:p>
        </w:tc>
      </w:tr>
    </w:tbl>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are recorded at the amount that the Group expects to collect and do not bear interest. Accounts receivables represent fees receivable on agency services primarily from insurance companies. For life insurance products, there is generally a 10 to 15 days hesitation period after an initial placement of a life insurance policy, during which the policyholder has a legal right to unconditionally cancel the effective policy. Contract assets are recorded when a long-term life insurance policy becomes effective, of which, the portion in relation to initial commissions earned is reclassified to accounts receivable upon the hesitation period expires; and the remaining portion arising from estimated renewal commissions will be reclassified to accounts receivable once the initial policy has been renewed and/or the Group has achieved certain renewal target in subsequent years within the renewal term of the policy. Accounts receivable are generally settled within 90 days since the initial recognition pursuant to the payment terms in the contract with customers, of which a minor portion relating to bonus earned based on annual performance condition is settled within one year. </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evaluates the collectability of its accounts receivable and contract assets based on a combination of factors. The Group generally does not require collateral on trade receivables and contract assets as the majority of the Group’s customers are large, well-established insurance companies. The allowance of credit losses for accounts receivable and contract assets is based upon the current expected credit losses (“CECL”) model by pooling accounts receivable and contract assets into various age buckets. The entire contract assets balance is included in the bucket of within 1 year. The expected credit loss rates applied range from 0.01% to 100%. In assessing the CECL, the Group considers both quantitative and qualitative information that is reasonable and supportable, including relevant available information from internal and external sources, related to past events, historical credit loss experience, current and future economic events as well as other conditions that may be beyond the Group’s control. Credit loss expenses are assessed quarterly and included in general and administrative expense on the unaudited consolidated statements of (loss) income and comprehensive (loss) income. Accounts receivable that are deemed uncollectible when all collection efforts have been exhausted are written off against the allowance for credit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and contract assets, net is analyzed as follows:</w:t>
      </w:r>
    </w:p>
    <w:p>
      <w:pPr>
        <w:pStyle w:val="TextBody"/>
        <w:bidi w:val="0"/>
        <w:spacing w:before="0" w:after="0"/>
        <w:ind w:left="0" w:right="0" w:firstLine="360"/>
        <w:jc w:val="both"/>
        <w:rPr>
          <w:caps w:val="false"/>
          <w:smallCaps w:val="false"/>
        </w:rPr>
      </w:pPr>
      <w:r>
        <w:rPr>
          <w:caps w:val="false"/>
          <w:smallCaps w:val="false"/>
        </w:rPr>
        <w:t> </w:t>
      </w:r>
    </w:p>
    <w:tbl>
      <w:tblPr>
        <w:tblW w:w="6849" w:type="dxa"/>
        <w:jc w:val="left"/>
        <w:tblInd w:w="0" w:type="dxa"/>
        <w:tblLayout w:type="fixed"/>
        <w:tblCellMar>
          <w:top w:w="0" w:type="dxa"/>
          <w:left w:w="0" w:type="dxa"/>
          <w:bottom w:w="0" w:type="dxa"/>
          <w:right w:w="0" w:type="dxa"/>
        </w:tblCellMar>
      </w:tblPr>
      <w:tblGrid>
        <w:gridCol w:w="4175"/>
        <w:gridCol w:w="60"/>
        <w:gridCol w:w="98"/>
        <w:gridCol w:w="1317"/>
        <w:gridCol w:w="95"/>
        <w:gridCol w:w="60"/>
        <w:gridCol w:w="65"/>
        <w:gridCol w:w="869"/>
        <w:gridCol w:w="110"/>
      </w:tblGrid>
      <w:tr>
        <w:trPr/>
        <w:tc>
          <w:tcPr>
            <w:tcW w:w="41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June 30, </w:t>
              <w:br/>
              <w:t>2026</w:t>
            </w:r>
          </w:p>
        </w:tc>
        <w:tc>
          <w:tcPr>
            <w:tcW w:w="11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ind w:left="0" w:right="0" w:hanging="173"/>
              <w:jc w:val="left"/>
              <w:rPr/>
            </w:pPr>
            <w:r>
              <w:rPr/>
              <w:t> </w:t>
            </w:r>
          </w:p>
        </w:tc>
      </w:tr>
      <w:tr>
        <w:trPr/>
        <w:tc>
          <w:tcPr>
            <w:tcW w:w="4175" w:type="dxa"/>
            <w:tcBorders/>
            <w:shd w:fill="CCEEFF" w:val="clear"/>
            <w:vAlign w:val="center"/>
          </w:tcPr>
          <w:p>
            <w:pPr>
              <w:pStyle w:val="TableContents"/>
              <w:bidi w:val="0"/>
              <w:spacing w:before="0" w:after="283"/>
              <w:jc w:val="both"/>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67,391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73,678</w:t>
            </w:r>
          </w:p>
        </w:tc>
        <w:tc>
          <w:tcPr>
            <w:tcW w:w="110" w:type="dxa"/>
            <w:tcBorders/>
            <w:shd w:fill="CCEEFF" w:val="clear"/>
            <w:vAlign w:val="center"/>
          </w:tcPr>
          <w:p>
            <w:pPr>
              <w:pStyle w:val="TableContents"/>
              <w:bidi w:val="0"/>
              <w:spacing w:before="0" w:after="283"/>
              <w:ind w:left="0" w:right="0" w:hanging="173"/>
              <w:jc w:val="left"/>
              <w:rPr/>
            </w:pPr>
            <w:r>
              <w:rPr/>
              <w:t> </w:t>
            </w:r>
          </w:p>
        </w:tc>
      </w:tr>
      <w:tr>
        <w:trPr/>
        <w:tc>
          <w:tcPr>
            <w:tcW w:w="4175" w:type="dxa"/>
            <w:tcBorders/>
            <w:vAlign w:val="center"/>
          </w:tcPr>
          <w:p>
            <w:pPr>
              <w:pStyle w:val="TableContents"/>
              <w:bidi w:val="0"/>
              <w:spacing w:before="0" w:after="283"/>
              <w:jc w:val="both"/>
              <w:rPr/>
            </w:pPr>
            <w:r>
              <w:rPr/>
              <w:t>Contract assets (See Note 2(r))</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748,544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680,707</w:t>
            </w:r>
          </w:p>
        </w:tc>
        <w:tc>
          <w:tcPr>
            <w:tcW w:w="11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both"/>
              <w:rPr/>
            </w:pPr>
            <w:r>
              <w:rPr/>
              <w:t>Allowance for expected credit losses</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7" w:type="dxa"/>
            <w:tcBorders>
              <w:bottom w:val="single" w:sz="12" w:space="0" w:color="000000"/>
            </w:tcBorders>
            <w:shd w:fill="CCEEFF" w:val="clear"/>
            <w:tcMar>
              <w:bottom w:w="28" w:type="dxa"/>
            </w:tcMar>
            <w:vAlign w:val="center"/>
          </w:tcPr>
          <w:p>
            <w:pPr>
              <w:pStyle w:val="TableContents"/>
              <w:bidi w:val="0"/>
              <w:spacing w:before="0" w:after="283"/>
              <w:jc w:val="right"/>
              <w:rPr/>
            </w:pPr>
            <w:r>
              <w:rPr/>
              <w:t>(2,531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12" w:space="0" w:color="000000"/>
            </w:tcBorders>
            <w:shd w:fill="CCEEFF" w:val="clear"/>
            <w:tcMar>
              <w:bottom w:w="28" w:type="dxa"/>
            </w:tcMar>
            <w:vAlign w:val="center"/>
          </w:tcPr>
          <w:p>
            <w:pPr>
              <w:pStyle w:val="TableContents"/>
              <w:bidi w:val="0"/>
              <w:spacing w:before="0" w:after="283"/>
              <w:jc w:val="right"/>
              <w:rPr/>
            </w:pPr>
            <w:r>
              <w:rPr/>
              <w:t>(1,586</w:t>
            </w:r>
          </w:p>
        </w:tc>
        <w:tc>
          <w:tcPr>
            <w:tcW w:w="110" w:type="dxa"/>
            <w:tcBorders/>
            <w:shd w:fill="CCEEFF" w:val="clear"/>
            <w:vAlign w:val="center"/>
          </w:tcPr>
          <w:p>
            <w:pPr>
              <w:pStyle w:val="TableContents"/>
              <w:bidi w:val="0"/>
              <w:spacing w:before="0" w:after="283"/>
              <w:ind w:left="0" w:right="0" w:hanging="173"/>
              <w:jc w:val="left"/>
              <w:rPr/>
            </w:pPr>
            <w:r>
              <w:rPr/>
              <w:t>)</w:t>
            </w:r>
          </w:p>
        </w:tc>
      </w:tr>
      <w:tr>
        <w:trPr/>
        <w:tc>
          <w:tcPr>
            <w:tcW w:w="4175" w:type="dxa"/>
            <w:tcBorders/>
            <w:vAlign w:val="center"/>
          </w:tcPr>
          <w:p>
            <w:pPr>
              <w:pStyle w:val="TableContents"/>
              <w:bidi w:val="0"/>
              <w:spacing w:before="0" w:after="283"/>
              <w:jc w:val="both"/>
              <w:rPr/>
            </w:pPr>
            <w:r>
              <w:rPr/>
              <w:t>Accounts receivable and contract assets, net</w:t>
            </w:r>
          </w:p>
        </w:tc>
        <w:tc>
          <w:tcPr>
            <w:tcW w:w="60" w:type="dxa"/>
            <w:tcBorders/>
            <w:vAlign w:val="center"/>
          </w:tcPr>
          <w:p>
            <w:pPr>
              <w:pStyle w:val="TableContents"/>
              <w:bidi w:val="0"/>
              <w:spacing w:before="0" w:after="283"/>
              <w:jc w:val="left"/>
              <w:rPr/>
            </w:pPr>
            <w:r>
              <w:rPr/>
              <w:t> </w:t>
            </w:r>
          </w:p>
        </w:tc>
        <w:tc>
          <w:tcPr>
            <w:tcW w:w="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17" w:type="dxa"/>
            <w:tcBorders>
              <w:bottom w:val="single" w:sz="12" w:space="0" w:color="000000"/>
            </w:tcBorders>
            <w:tcMar>
              <w:bottom w:w="28" w:type="dxa"/>
            </w:tcMar>
            <w:vAlign w:val="center"/>
          </w:tcPr>
          <w:p>
            <w:pPr>
              <w:pStyle w:val="TableContents"/>
              <w:bidi w:val="0"/>
              <w:spacing w:before="0" w:after="283"/>
              <w:jc w:val="right"/>
              <w:rPr/>
            </w:pPr>
            <w:r>
              <w:rPr/>
              <w:t>813,404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869" w:type="dxa"/>
            <w:tcBorders>
              <w:bottom w:val="single" w:sz="12" w:space="0" w:color="000000"/>
            </w:tcBorders>
            <w:tcMar>
              <w:bottom w:w="28" w:type="dxa"/>
            </w:tcMar>
            <w:vAlign w:val="center"/>
          </w:tcPr>
          <w:p>
            <w:pPr>
              <w:pStyle w:val="TableContents"/>
              <w:bidi w:val="0"/>
              <w:spacing w:before="0" w:after="283"/>
              <w:jc w:val="right"/>
              <w:rPr/>
            </w:pPr>
            <w:r>
              <w:rPr/>
              <w:t>752,799</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movement of the Group’s allowance for expected credit losses of accounts receivable and contract assets:</w:t>
      </w:r>
    </w:p>
    <w:p>
      <w:pPr>
        <w:pStyle w:val="TextBody"/>
        <w:bidi w:val="0"/>
        <w:spacing w:before="0" w:after="0"/>
        <w:ind w:left="0" w:right="0" w:firstLine="360"/>
        <w:jc w:val="both"/>
        <w:rPr>
          <w:caps w:val="false"/>
          <w:smallCaps w:val="false"/>
        </w:rPr>
      </w:pPr>
      <w:r>
        <w:rPr>
          <w:caps w:val="false"/>
          <w:smallCaps w:val="false"/>
        </w:rPr>
        <w:t> </w:t>
      </w:r>
    </w:p>
    <w:tbl>
      <w:tblPr>
        <w:tblW w:w="7228" w:type="dxa"/>
        <w:jc w:val="left"/>
        <w:tblInd w:w="0" w:type="dxa"/>
        <w:tblLayout w:type="fixed"/>
        <w:tblCellMar>
          <w:top w:w="0" w:type="dxa"/>
          <w:left w:w="0" w:type="dxa"/>
          <w:bottom w:w="0" w:type="dxa"/>
          <w:right w:w="0" w:type="dxa"/>
        </w:tblCellMar>
      </w:tblPr>
      <w:tblGrid>
        <w:gridCol w:w="4790"/>
        <w:gridCol w:w="60"/>
        <w:gridCol w:w="100"/>
        <w:gridCol w:w="934"/>
        <w:gridCol w:w="100"/>
        <w:gridCol w:w="100"/>
        <w:gridCol w:w="100"/>
        <w:gridCol w:w="934"/>
        <w:gridCol w:w="110"/>
      </w:tblGrid>
      <w:tr>
        <w:trPr/>
        <w:tc>
          <w:tcPr>
            <w:tcW w:w="47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six months ended </w:t>
              <w:br/>
              <w:t>June 30,</w:t>
            </w:r>
          </w:p>
        </w:tc>
        <w:tc>
          <w:tcPr>
            <w:tcW w:w="110"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34" w:type="dxa"/>
            <w:gridSpan w:val="2"/>
            <w:tcBorders/>
            <w:vAlign w:val="center"/>
          </w:tcPr>
          <w:p>
            <w:pPr>
              <w:pStyle w:val="TableContents"/>
              <w:bidi w:val="0"/>
              <w:spacing w:before="0" w:after="283"/>
              <w:jc w:val="center"/>
              <w:rPr>
                <w:b/>
              </w:rPr>
            </w:pPr>
            <w:r>
              <w:rPr>
                <w:b/>
              </w:rPr>
              <w:t>RMB</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34" w:type="dxa"/>
            <w:gridSpan w:val="2"/>
            <w:tcBorders/>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ind w:left="0" w:right="0" w:hanging="173"/>
              <w:jc w:val="left"/>
              <w:rPr/>
            </w:pPr>
            <w:r>
              <w:rPr/>
              <w:t> </w:t>
            </w:r>
          </w:p>
        </w:tc>
      </w:tr>
      <w:tr>
        <w:trPr/>
        <w:tc>
          <w:tcPr>
            <w:tcW w:w="4790" w:type="dxa"/>
            <w:tcBorders/>
            <w:shd w:fill="CCEEFF" w:val="clear"/>
            <w:vAlign w:val="center"/>
          </w:tcPr>
          <w:p>
            <w:pPr>
              <w:pStyle w:val="TableContents"/>
              <w:bidi w:val="0"/>
              <w:spacing w:before="0" w:after="283"/>
              <w:jc w:val="both"/>
              <w:rPr/>
            </w:pPr>
            <w:r>
              <w:rPr/>
              <w:t>Balance at the beginning of the period</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1,186</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2,531</w:t>
            </w:r>
          </w:p>
        </w:tc>
        <w:tc>
          <w:tcPr>
            <w:tcW w:w="110" w:type="dxa"/>
            <w:tcBorders/>
            <w:shd w:fill="CCEEFF" w:val="clear"/>
            <w:vAlign w:val="center"/>
          </w:tcPr>
          <w:p>
            <w:pPr>
              <w:pStyle w:val="TableContents"/>
              <w:bidi w:val="0"/>
              <w:spacing w:before="0" w:after="283"/>
              <w:ind w:left="0" w:right="0" w:hanging="173"/>
              <w:jc w:val="left"/>
              <w:rPr/>
            </w:pPr>
            <w:r>
              <w:rPr/>
              <w:t> </w:t>
            </w:r>
          </w:p>
        </w:tc>
      </w:tr>
      <w:tr>
        <w:trPr/>
        <w:tc>
          <w:tcPr>
            <w:tcW w:w="4790" w:type="dxa"/>
            <w:tcBorders/>
            <w:vAlign w:val="center"/>
          </w:tcPr>
          <w:p>
            <w:pPr>
              <w:pStyle w:val="TableContents"/>
              <w:bidi w:val="0"/>
              <w:spacing w:before="0" w:after="283"/>
              <w:jc w:val="both"/>
              <w:rPr/>
            </w:pPr>
            <w:r>
              <w:rPr/>
              <w:t>Current period provision for expected credit losses</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751</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both"/>
              <w:rPr/>
            </w:pPr>
            <w:r>
              <w:rPr/>
              <w:t>Write-offs</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pPr>
            <w:r>
              <w:rPr/>
              <w:t>(945</w:t>
            </w:r>
          </w:p>
        </w:tc>
        <w:tc>
          <w:tcPr>
            <w:tcW w:w="110" w:type="dxa"/>
            <w:tcBorders/>
            <w:shd w:fill="CCEEFF" w:val="clear"/>
            <w:vAlign w:val="center"/>
          </w:tcPr>
          <w:p>
            <w:pPr>
              <w:pStyle w:val="TableContents"/>
              <w:bidi w:val="0"/>
              <w:spacing w:before="0" w:after="283"/>
              <w:ind w:left="0" w:right="0" w:hanging="173"/>
              <w:jc w:val="left"/>
              <w:rPr/>
            </w:pPr>
            <w:r>
              <w:rPr/>
              <w:t>)</w:t>
            </w:r>
          </w:p>
        </w:tc>
      </w:tr>
      <w:tr>
        <w:trPr/>
        <w:tc>
          <w:tcPr>
            <w:tcW w:w="4790" w:type="dxa"/>
            <w:tcBorders/>
            <w:vAlign w:val="center"/>
          </w:tcPr>
          <w:p>
            <w:pPr>
              <w:pStyle w:val="TableContents"/>
              <w:bidi w:val="0"/>
              <w:spacing w:before="0" w:after="283"/>
              <w:jc w:val="both"/>
              <w:rPr/>
            </w:pPr>
            <w:r>
              <w:rPr/>
              <w:t>Balance at the end of the period</w:t>
            </w:r>
          </w:p>
        </w:tc>
        <w:tc>
          <w:tcPr>
            <w:tcW w:w="60" w:type="dxa"/>
            <w:tcBorders/>
            <w:vAlign w:val="center"/>
          </w:tcPr>
          <w:p>
            <w:pPr>
              <w:pStyle w:val="TableContents"/>
              <w:bidi w:val="0"/>
              <w:spacing w:before="0" w:after="283"/>
              <w:jc w:val="left"/>
              <w:rPr/>
            </w:pPr>
            <w:r>
              <w:rPr/>
              <w:t> </w:t>
            </w:r>
          </w:p>
        </w:tc>
        <w:tc>
          <w:tcPr>
            <w:tcW w:w="100" w:type="dxa"/>
            <w:tcBorders>
              <w:bottom w:val="single" w:sz="12" w:space="0" w:color="000000"/>
            </w:tcBorders>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tcMar>
              <w:bottom w:w="28" w:type="dxa"/>
            </w:tcMar>
            <w:vAlign w:val="center"/>
          </w:tcPr>
          <w:p>
            <w:pPr>
              <w:pStyle w:val="TableContents"/>
              <w:bidi w:val="0"/>
              <w:spacing w:before="0" w:after="283"/>
              <w:jc w:val="right"/>
              <w:rPr/>
            </w:pPr>
            <w:r>
              <w:rPr/>
              <w:t>1,937</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bottom w:val="single" w:sz="12" w:space="0" w:color="000000"/>
            </w:tcBorders>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tcMar>
              <w:bottom w:w="28" w:type="dxa"/>
            </w:tcMar>
            <w:vAlign w:val="center"/>
          </w:tcPr>
          <w:p>
            <w:pPr>
              <w:pStyle w:val="TableContents"/>
              <w:bidi w:val="0"/>
              <w:spacing w:before="0" w:after="283"/>
              <w:jc w:val="right"/>
              <w:rPr/>
            </w:pPr>
            <w:r>
              <w:rPr/>
              <w:t>1,586</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799" w:right="0" w:hanging="90"/>
        <w:jc w:val="both"/>
        <w:rPr>
          <w:caps w:val="false"/>
          <w:smallCaps w:val="false"/>
        </w:rPr>
      </w:pPr>
      <w:r>
        <w:rPr>
          <w:caps w:val="false"/>
          <w:smallCaps w:val="false"/>
        </w:rPr>
        <w:t> </w:t>
      </w:r>
    </w:p>
    <w:p>
      <w:pPr>
        <w:pStyle w:val="TextBody"/>
        <w:bidi w:val="0"/>
        <w:spacing w:before="0" w:after="0"/>
        <w:ind w:left="799" w:right="0" w:hanging="9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799" w:right="0" w:hanging="9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799" w:right="0" w:hanging="9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75"/>
        <w:gridCol w:w="200"/>
        <w:gridCol w:w="16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i/>
                <w:sz w:val="20"/>
              </w:rPr>
            </w:pPr>
            <w:r>
              <w:rPr>
                <w:b/>
                <w:i/>
                <w:sz w:val="20"/>
              </w:rPr>
              <w:t>(f)</w:t>
            </w:r>
          </w:p>
        </w:tc>
        <w:tc>
          <w:tcPr>
            <w:tcW w:w="1610" w:type="dxa"/>
            <w:tcBorders/>
            <w:vAlign w:val="center"/>
          </w:tcPr>
          <w:p>
            <w:pPr>
              <w:pStyle w:val="TableContents"/>
              <w:bidi w:val="0"/>
              <w:spacing w:before="0" w:after="283"/>
              <w:jc w:val="both"/>
              <w:rPr>
                <w:b/>
              </w:rPr>
            </w:pPr>
            <w:r>
              <w:rPr>
                <w:b/>
              </w:rPr>
              <w:t>Inventories, net</w:t>
            </w:r>
          </w:p>
        </w:tc>
      </w:tr>
    </w:tbl>
    <w:p>
      <w:pPr>
        <w:pStyle w:val="TextBody"/>
        <w:bidi w:val="0"/>
        <w:spacing w:before="0" w:after="0"/>
        <w:ind w:left="799" w:right="0" w:hanging="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and net realizable value. Costs include the cost of raw materials, freight-in, direct labor and related production overhead. The cost of inventories is calculated using the first-in, first-out (FIFO) method. Any excess of the cost over the net realizable value of each inventory item is recognized as a provision for diminution in the value of inventories. Net realizable value is the estimated selling price in the normal course of business less reasonably predictable costs to completion, disposal, and transportation. Allowances for obsolescence are also assessed based on expiration dates, as applicable, taking into consideration historical and expected future product sales.</w:t>
      </w:r>
    </w:p>
    <w:p>
      <w:pPr>
        <w:pStyle w:val="TextBody"/>
        <w:bidi w:val="0"/>
        <w:spacing w:before="0" w:after="0"/>
        <w:ind w:left="0" w:right="0" w:firstLine="36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245"/>
        <w:gridCol w:w="29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i/>
                <w:sz w:val="20"/>
              </w:rPr>
            </w:pPr>
            <w:r>
              <w:rPr>
                <w:b/>
                <w:i/>
                <w:sz w:val="20"/>
              </w:rPr>
              <w:t>(g)</w:t>
            </w:r>
          </w:p>
        </w:tc>
        <w:tc>
          <w:tcPr>
            <w:tcW w:w="2960" w:type="dxa"/>
            <w:tcBorders/>
            <w:vAlign w:val="center"/>
          </w:tcPr>
          <w:p>
            <w:pPr>
              <w:pStyle w:val="TableContents"/>
              <w:bidi w:val="0"/>
              <w:spacing w:before="0" w:after="283"/>
              <w:jc w:val="both"/>
              <w:rPr>
                <w:b/>
                <w:i/>
                <w:sz w:val="20"/>
              </w:rPr>
            </w:pPr>
            <w:r>
              <w:rPr>
                <w:b/>
                <w:i/>
                <w:sz w:val="20"/>
              </w:rPr>
              <w:t>Property, Plant and Equipment, net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stated at cost. Depreciation are calculated using the straight-line method over the following estimated useful lives, taking into account residual value:</w:t>
      </w:r>
    </w:p>
    <w:p>
      <w:pPr>
        <w:pStyle w:val="TextBody"/>
        <w:bidi w:val="0"/>
        <w:spacing w:before="0" w:after="0"/>
        <w:ind w:left="0" w:right="0" w:firstLine="360"/>
        <w:jc w:val="both"/>
        <w:rPr>
          <w:caps w:val="false"/>
          <w:smallCaps w:val="false"/>
        </w:rPr>
      </w:pPr>
      <w:r>
        <w:rPr>
          <w:caps w:val="false"/>
          <w:smallCaps w:val="false"/>
        </w:rPr>
        <w:t> </w:t>
      </w:r>
    </w:p>
    <w:tbl>
      <w:tblPr>
        <w:tblW w:w="6349" w:type="dxa"/>
        <w:jc w:val="left"/>
        <w:tblInd w:w="0" w:type="dxa"/>
        <w:tblLayout w:type="fixed"/>
        <w:tblCellMar>
          <w:top w:w="0" w:type="dxa"/>
          <w:left w:w="0" w:type="dxa"/>
          <w:bottom w:w="0" w:type="dxa"/>
          <w:right w:w="0" w:type="dxa"/>
        </w:tblCellMar>
      </w:tblPr>
      <w:tblGrid>
        <w:gridCol w:w="3785"/>
        <w:gridCol w:w="60"/>
        <w:gridCol w:w="190"/>
        <w:gridCol w:w="924"/>
        <w:gridCol w:w="60"/>
        <w:gridCol w:w="60"/>
        <w:gridCol w:w="178"/>
        <w:gridCol w:w="862"/>
        <w:gridCol w:w="230"/>
      </w:tblGrid>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Estimated</w:t>
              <w:br/>
              <w:t>useful lives</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Estimated</w:t>
              <w:br/>
              <w:t>residual</w:t>
              <w:br/>
              <w:t>value</w:t>
            </w:r>
          </w:p>
        </w:tc>
        <w:tc>
          <w:tcPr>
            <w:tcW w:w="23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Building</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center"/>
              <w:rPr/>
            </w:pPr>
            <w:r>
              <w:rPr/>
              <w:t> </w:t>
            </w:r>
          </w:p>
        </w:tc>
        <w:tc>
          <w:tcPr>
            <w:tcW w:w="924" w:type="dxa"/>
            <w:tcBorders/>
            <w:shd w:fill="CCEEFF" w:val="clear"/>
            <w:vAlign w:val="center"/>
          </w:tcPr>
          <w:p>
            <w:pPr>
              <w:pStyle w:val="TableContents"/>
              <w:bidi w:val="0"/>
              <w:spacing w:before="0" w:after="283"/>
              <w:jc w:val="center"/>
              <w:rPr>
                <w:sz w:val="20"/>
              </w:rPr>
            </w:pPr>
            <w:r>
              <w:rPr>
                <w:sz w:val="20"/>
              </w:rPr>
              <w:t>20-36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center"/>
              <w:rPr/>
            </w:pPr>
            <w:r>
              <w:rPr/>
              <w:t> </w:t>
            </w:r>
          </w:p>
        </w:tc>
        <w:tc>
          <w:tcPr>
            <w:tcW w:w="862"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w:t>
            </w:r>
          </w:p>
        </w:tc>
      </w:tr>
      <w:tr>
        <w:trPr/>
        <w:tc>
          <w:tcPr>
            <w:tcW w:w="3785" w:type="dxa"/>
            <w:tcBorders/>
            <w:vAlign w:val="center"/>
          </w:tcPr>
          <w:p>
            <w:pPr>
              <w:pStyle w:val="TableContents"/>
              <w:bidi w:val="0"/>
              <w:spacing w:before="0" w:after="283"/>
              <w:jc w:val="left"/>
              <w:rPr/>
            </w:pPr>
            <w:r>
              <w:rPr/>
              <w:t>Office equipment, furniture and fixtures</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center"/>
              <w:rPr/>
            </w:pPr>
            <w:r>
              <w:rPr/>
              <w:t> </w:t>
            </w:r>
          </w:p>
        </w:tc>
        <w:tc>
          <w:tcPr>
            <w:tcW w:w="924" w:type="dxa"/>
            <w:tcBorders/>
            <w:vAlign w:val="center"/>
          </w:tcPr>
          <w:p>
            <w:pPr>
              <w:pStyle w:val="TableContents"/>
              <w:bidi w:val="0"/>
              <w:spacing w:before="0" w:after="283"/>
              <w:jc w:val="center"/>
              <w:rPr>
                <w:sz w:val="20"/>
              </w:rPr>
            </w:pPr>
            <w:r>
              <w:rPr>
                <w:sz w:val="20"/>
              </w:rPr>
              <w:t>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center"/>
              <w:rPr/>
            </w:pPr>
            <w:r>
              <w:rPr/>
              <w:t> </w:t>
            </w:r>
          </w:p>
        </w:tc>
        <w:tc>
          <w:tcPr>
            <w:tcW w:w="862" w:type="dxa"/>
            <w:tcBorders/>
            <w:vAlign w:val="center"/>
          </w:tcPr>
          <w:p>
            <w:pPr>
              <w:pStyle w:val="TableContents"/>
              <w:bidi w:val="0"/>
              <w:spacing w:before="0" w:after="283"/>
              <w:jc w:val="right"/>
              <w:rPr>
                <w:sz w:val="20"/>
              </w:rPr>
            </w:pPr>
            <w:r>
              <w:rPr>
                <w:sz w:val="20"/>
              </w:rPr>
              <w:t>0%-3</w:t>
            </w:r>
          </w:p>
        </w:tc>
        <w:tc>
          <w:tcPr>
            <w:tcW w:w="230" w:type="dxa"/>
            <w:tcBorders/>
            <w:vAlign w:val="center"/>
          </w:tcPr>
          <w:p>
            <w:pPr>
              <w:pStyle w:val="TableContents"/>
              <w:bidi w:val="0"/>
              <w:spacing w:before="0" w:after="283"/>
              <w:jc w:val="left"/>
              <w:rPr/>
            </w:pPr>
            <w:r>
              <w:rPr/>
              <w:t>%</w:t>
            </w:r>
          </w:p>
        </w:tc>
      </w:tr>
      <w:tr>
        <w:trPr/>
        <w:tc>
          <w:tcPr>
            <w:tcW w:w="3785" w:type="dxa"/>
            <w:tcBorders/>
            <w:shd w:fill="CCEEFF" w:val="clear"/>
            <w:vAlign w:val="center"/>
          </w:tcPr>
          <w:p>
            <w:pPr>
              <w:pStyle w:val="TableContents"/>
              <w:bidi w:val="0"/>
              <w:spacing w:before="0" w:after="283"/>
              <w:jc w:val="left"/>
              <w:rPr/>
            </w:pPr>
            <w:r>
              <w:rPr/>
              <w:t>Motor vehicles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center"/>
              <w:rPr/>
            </w:pPr>
            <w:r>
              <w:rPr/>
              <w:t> </w:t>
            </w:r>
          </w:p>
        </w:tc>
        <w:tc>
          <w:tcPr>
            <w:tcW w:w="924" w:type="dxa"/>
            <w:tcBorders/>
            <w:shd w:fill="CCEEFF" w:val="clear"/>
            <w:vAlign w:val="center"/>
          </w:tcPr>
          <w:p>
            <w:pPr>
              <w:pStyle w:val="TableContents"/>
              <w:bidi w:val="0"/>
              <w:spacing w:before="0" w:after="283"/>
              <w:jc w:val="center"/>
              <w:rPr>
                <w:sz w:val="20"/>
              </w:rPr>
            </w:pPr>
            <w:r>
              <w:rPr>
                <w:sz w:val="20"/>
              </w:rPr>
              <w:t>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center"/>
              <w:rPr/>
            </w:pPr>
            <w:r>
              <w:rPr/>
              <w:t> </w:t>
            </w:r>
          </w:p>
        </w:tc>
        <w:tc>
          <w:tcPr>
            <w:tcW w:w="862" w:type="dxa"/>
            <w:tcBorders/>
            <w:shd w:fill="CCEEFF" w:val="clear"/>
            <w:vAlign w:val="center"/>
          </w:tcPr>
          <w:p>
            <w:pPr>
              <w:pStyle w:val="TableContents"/>
              <w:bidi w:val="0"/>
              <w:spacing w:before="0" w:after="283"/>
              <w:jc w:val="right"/>
              <w:rPr>
                <w:sz w:val="20"/>
              </w:rPr>
            </w:pPr>
            <w:r>
              <w:rPr>
                <w:sz w:val="20"/>
              </w:rPr>
              <w:t>0%-3</w:t>
            </w:r>
          </w:p>
        </w:tc>
        <w:tc>
          <w:tcPr>
            <w:tcW w:w="230" w:type="dxa"/>
            <w:tcBorders/>
            <w:shd w:fill="CCEEFF" w:val="clear"/>
            <w:vAlign w:val="center"/>
          </w:tcPr>
          <w:p>
            <w:pPr>
              <w:pStyle w:val="TableContents"/>
              <w:bidi w:val="0"/>
              <w:spacing w:before="0" w:after="283"/>
              <w:jc w:val="left"/>
              <w:rPr/>
            </w:pPr>
            <w:r>
              <w:rPr/>
              <w:t>%</w:t>
            </w:r>
          </w:p>
        </w:tc>
      </w:tr>
      <w:tr>
        <w:trPr/>
        <w:tc>
          <w:tcPr>
            <w:tcW w:w="3785" w:type="dxa"/>
            <w:tcBorders/>
            <w:vAlign w:val="center"/>
          </w:tcPr>
          <w:p>
            <w:pPr>
              <w:pStyle w:val="TableContents"/>
              <w:bidi w:val="0"/>
              <w:spacing w:before="0" w:after="283"/>
              <w:jc w:val="left"/>
              <w:rPr/>
            </w:pPr>
            <w:r>
              <w:rPr/>
              <w:t>Leasehold improvements</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center"/>
              <w:rPr/>
            </w:pPr>
            <w:r>
              <w:rPr/>
              <w:t> </w:t>
            </w:r>
          </w:p>
        </w:tc>
        <w:tc>
          <w:tcPr>
            <w:tcW w:w="924"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center"/>
              <w:rPr/>
            </w:pPr>
            <w:r>
              <w:rPr/>
              <w:t> </w:t>
            </w:r>
          </w:p>
        </w:tc>
        <w:tc>
          <w:tcPr>
            <w:tcW w:w="862" w:type="dxa"/>
            <w:tcBorders/>
            <w:vAlign w:val="center"/>
          </w:tcPr>
          <w:p>
            <w:pPr>
              <w:pStyle w:val="TableContents"/>
              <w:bidi w:val="0"/>
              <w:spacing w:before="0" w:after="283"/>
              <w:jc w:val="right"/>
              <w:rPr/>
            </w:pPr>
            <w:r>
              <w:rPr/>
              <w:t>0</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costs that are related to the construction of property, plant and equipment incurred in connection with bringing the assets to their intended use are capitalized as construction in progress. Construction in progress is transferred to specific property, plant and equipment items and the depreciation of these assets commences when the assets are ready for their intended use. As of December 31, 2025 and June 30, 2026, construction in progress were primarily relating to the office buildings under construction.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depreciation methods and estimated useful lives are reviewed regularly. The following table summarizes the depreciation expense recognized in the unaudited consolidated statements of (loss) income and comprehensive (loss) income:</w:t>
      </w:r>
    </w:p>
    <w:p>
      <w:pPr>
        <w:pStyle w:val="TextBody"/>
        <w:bidi w:val="0"/>
        <w:spacing w:before="0" w:after="0"/>
        <w:ind w:left="0" w:right="0" w:firstLine="360"/>
        <w:jc w:val="both"/>
        <w:rPr>
          <w:caps w:val="false"/>
          <w:smallCaps w:val="false"/>
        </w:rPr>
      </w:pPr>
      <w:r>
        <w:rPr>
          <w:caps w:val="false"/>
          <w:smallCaps w:val="false"/>
        </w:rPr>
        <w:t> </w:t>
      </w:r>
    </w:p>
    <w:tbl>
      <w:tblPr>
        <w:tblW w:w="5586" w:type="dxa"/>
        <w:jc w:val="left"/>
        <w:tblInd w:w="0" w:type="dxa"/>
        <w:tblLayout w:type="fixed"/>
        <w:tblCellMar>
          <w:top w:w="0" w:type="dxa"/>
          <w:left w:w="0" w:type="dxa"/>
          <w:bottom w:w="0" w:type="dxa"/>
          <w:right w:w="0" w:type="dxa"/>
        </w:tblCellMar>
      </w:tblPr>
      <w:tblGrid>
        <w:gridCol w:w="3485"/>
        <w:gridCol w:w="60"/>
        <w:gridCol w:w="86"/>
        <w:gridCol w:w="811"/>
        <w:gridCol w:w="86"/>
        <w:gridCol w:w="86"/>
        <w:gridCol w:w="86"/>
        <w:gridCol w:w="811"/>
        <w:gridCol w:w="75"/>
      </w:tblGrid>
      <w:tr>
        <w:trPr/>
        <w:tc>
          <w:tcPr>
            <w:tcW w:w="34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w:t>
              <w:br/>
              <w:t xml:space="preserve">ended </w:t>
              <w:br/>
              <w:t>June 30,</w:t>
            </w:r>
          </w:p>
        </w:tc>
        <w:tc>
          <w:tcPr>
            <w:tcW w:w="75"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7" w:type="dxa"/>
            <w:gridSpan w:val="2"/>
            <w:tcBorders/>
            <w:vAlign w:val="center"/>
          </w:tcPr>
          <w:p>
            <w:pPr>
              <w:pStyle w:val="TableContents"/>
              <w:bidi w:val="0"/>
              <w:spacing w:before="0" w:after="283"/>
              <w:jc w:val="center"/>
              <w:rPr>
                <w:b/>
              </w:rPr>
            </w:pPr>
            <w:r>
              <w:rPr>
                <w:b/>
              </w:rPr>
              <w:t>RMB</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97"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ind w:left="0" w:right="0" w:hanging="142"/>
              <w:jc w:val="left"/>
              <w:rPr/>
            </w:pPr>
            <w:r>
              <w:rPr/>
              <w:t> </w:t>
            </w:r>
          </w:p>
        </w:tc>
      </w:tr>
      <w:tr>
        <w:trPr/>
        <w:tc>
          <w:tcPr>
            <w:tcW w:w="3485" w:type="dxa"/>
            <w:tcBorders/>
            <w:shd w:fill="CCEEFF" w:val="clear"/>
            <w:vAlign w:val="center"/>
          </w:tcPr>
          <w:p>
            <w:pPr>
              <w:pStyle w:val="TableContents"/>
              <w:bidi w:val="0"/>
              <w:spacing w:before="0" w:after="283"/>
              <w:jc w:val="both"/>
              <w:rPr/>
            </w:pPr>
            <w:r>
              <w:rPr/>
              <w:t>Selling expenses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28</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20</w:t>
            </w:r>
          </w:p>
        </w:tc>
        <w:tc>
          <w:tcPr>
            <w:tcW w:w="75" w:type="dxa"/>
            <w:tcBorders/>
            <w:shd w:fill="CCEEFF" w:val="clear"/>
            <w:vAlign w:val="center"/>
          </w:tcPr>
          <w:p>
            <w:pPr>
              <w:pStyle w:val="TableContents"/>
              <w:bidi w:val="0"/>
              <w:spacing w:before="0" w:after="283"/>
              <w:ind w:left="0" w:right="0" w:hanging="142"/>
              <w:jc w:val="left"/>
              <w:rPr/>
            </w:pPr>
            <w:r>
              <w:rPr/>
              <w:t> </w:t>
            </w:r>
          </w:p>
        </w:tc>
      </w:tr>
      <w:tr>
        <w:trPr/>
        <w:tc>
          <w:tcPr>
            <w:tcW w:w="3485" w:type="dxa"/>
            <w:tcBorders/>
            <w:vAlign w:val="center"/>
          </w:tcPr>
          <w:p>
            <w:pPr>
              <w:pStyle w:val="TableContents"/>
              <w:bidi w:val="0"/>
              <w:spacing w:before="0" w:after="283"/>
              <w:jc w:val="both"/>
              <w:rPr/>
            </w:pPr>
            <w:r>
              <w:rPr/>
              <w:t>General and administrative expenses</w:t>
            </w:r>
          </w:p>
        </w:tc>
        <w:tc>
          <w:tcPr>
            <w:tcW w:w="60" w:type="dxa"/>
            <w:tcBorders/>
            <w:vAlign w:val="center"/>
          </w:tcPr>
          <w:p>
            <w:pPr>
              <w:pStyle w:val="TableContents"/>
              <w:bidi w:val="0"/>
              <w:spacing w:before="0" w:after="283"/>
              <w:jc w:val="left"/>
              <w:rPr/>
            </w:pPr>
            <w:r>
              <w:rPr/>
              <w:t> </w:t>
            </w:r>
          </w:p>
        </w:tc>
        <w:tc>
          <w:tcPr>
            <w:tcW w:w="86" w:type="dxa"/>
            <w:tcBorders>
              <w:bottom w:val="single" w:sz="12" w:space="0" w:color="000000"/>
            </w:tcBorders>
            <w:tcMar>
              <w:bottom w:w="28" w:type="dxa"/>
            </w:tcMar>
            <w:vAlign w:val="center"/>
          </w:tcPr>
          <w:p>
            <w:pPr>
              <w:pStyle w:val="TableContents"/>
              <w:bidi w:val="0"/>
              <w:spacing w:before="0" w:after="283"/>
              <w:jc w:val="left"/>
              <w:rPr/>
            </w:pPr>
            <w:r>
              <w:rPr/>
              <w:t> </w:t>
            </w:r>
          </w:p>
        </w:tc>
        <w:tc>
          <w:tcPr>
            <w:tcW w:w="811" w:type="dxa"/>
            <w:tcBorders>
              <w:bottom w:val="single" w:sz="12" w:space="0" w:color="000000"/>
            </w:tcBorders>
            <w:tcMar>
              <w:bottom w:w="28" w:type="dxa"/>
            </w:tcMar>
            <w:vAlign w:val="center"/>
          </w:tcPr>
          <w:p>
            <w:pPr>
              <w:pStyle w:val="TableContents"/>
              <w:bidi w:val="0"/>
              <w:spacing w:before="0" w:after="283"/>
              <w:jc w:val="right"/>
              <w:rPr/>
            </w:pPr>
            <w:r>
              <w:rPr/>
              <w:t>2,405</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bottom w:val="single" w:sz="12" w:space="0" w:color="000000"/>
            </w:tcBorders>
            <w:tcMar>
              <w:bottom w:w="28" w:type="dxa"/>
            </w:tcMar>
            <w:vAlign w:val="center"/>
          </w:tcPr>
          <w:p>
            <w:pPr>
              <w:pStyle w:val="TableContents"/>
              <w:bidi w:val="0"/>
              <w:spacing w:before="0" w:after="283"/>
              <w:jc w:val="left"/>
              <w:rPr/>
            </w:pPr>
            <w:r>
              <w:rPr/>
              <w:t> </w:t>
            </w:r>
          </w:p>
        </w:tc>
        <w:tc>
          <w:tcPr>
            <w:tcW w:w="811" w:type="dxa"/>
            <w:tcBorders>
              <w:bottom w:val="single" w:sz="12" w:space="0" w:color="000000"/>
            </w:tcBorders>
            <w:tcMar>
              <w:bottom w:w="28" w:type="dxa"/>
            </w:tcMar>
            <w:vAlign w:val="center"/>
          </w:tcPr>
          <w:p>
            <w:pPr>
              <w:pStyle w:val="TableContents"/>
              <w:bidi w:val="0"/>
              <w:spacing w:before="0" w:after="283"/>
              <w:jc w:val="right"/>
              <w:rPr/>
            </w:pPr>
            <w:r>
              <w:rPr/>
              <w:t>2,615</w:t>
            </w:r>
          </w:p>
        </w:tc>
        <w:tc>
          <w:tcPr>
            <w:tcW w:w="75" w:type="dxa"/>
            <w:tcBorders/>
            <w:vAlign w:val="center"/>
          </w:tcPr>
          <w:p>
            <w:pPr>
              <w:pStyle w:val="TableContents"/>
              <w:bidi w:val="0"/>
              <w:spacing w:before="0" w:after="283"/>
              <w:ind w:left="0" w:right="0" w:hanging="142"/>
              <w:jc w:val="left"/>
              <w:rPr/>
            </w:pPr>
            <w:r>
              <w:rPr/>
              <w:t> </w:t>
            </w:r>
          </w:p>
        </w:tc>
      </w:tr>
      <w:tr>
        <w:trPr/>
        <w:tc>
          <w:tcPr>
            <w:tcW w:w="3485" w:type="dxa"/>
            <w:tcBorders/>
            <w:shd w:fill="CCEEFF" w:val="clear"/>
            <w:vAlign w:val="center"/>
          </w:tcPr>
          <w:p>
            <w:pPr>
              <w:pStyle w:val="TableContents"/>
              <w:bidi w:val="0"/>
              <w:spacing w:before="0" w:after="283"/>
              <w:jc w:val="both"/>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1" w:type="dxa"/>
            <w:tcBorders>
              <w:bottom w:val="single" w:sz="12" w:space="0" w:color="000000"/>
            </w:tcBorders>
            <w:shd w:fill="CCEEFF" w:val="clear"/>
            <w:tcMar>
              <w:bottom w:w="28" w:type="dxa"/>
            </w:tcMar>
            <w:vAlign w:val="center"/>
          </w:tcPr>
          <w:p>
            <w:pPr>
              <w:pStyle w:val="TableContents"/>
              <w:bidi w:val="0"/>
              <w:spacing w:before="0" w:after="283"/>
              <w:jc w:val="right"/>
              <w:rPr/>
            </w:pPr>
            <w:r>
              <w:rPr/>
              <w:t>2,433</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1" w:type="dxa"/>
            <w:tcBorders>
              <w:bottom w:val="single" w:sz="12" w:space="0" w:color="000000"/>
            </w:tcBorders>
            <w:shd w:fill="CCEEFF" w:val="clear"/>
            <w:tcMar>
              <w:bottom w:w="28" w:type="dxa"/>
            </w:tcMar>
            <w:vAlign w:val="center"/>
          </w:tcPr>
          <w:p>
            <w:pPr>
              <w:pStyle w:val="TableContents"/>
              <w:bidi w:val="0"/>
              <w:spacing w:before="0" w:after="283"/>
              <w:jc w:val="right"/>
              <w:rPr/>
            </w:pPr>
            <w:r>
              <w:rPr/>
              <w:t>2,635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245"/>
        <w:gridCol w:w="443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(h)</w:t>
            </w:r>
          </w:p>
        </w:tc>
        <w:tc>
          <w:tcPr>
            <w:tcW w:w="4430" w:type="dxa"/>
            <w:tcBorders/>
            <w:vAlign w:val="center"/>
          </w:tcPr>
          <w:p>
            <w:pPr>
              <w:pStyle w:val="TableContents"/>
              <w:bidi w:val="0"/>
              <w:spacing w:before="0" w:after="283"/>
              <w:jc w:val="both"/>
              <w:rPr/>
            </w:pPr>
            <w:r>
              <w:rPr/>
              <w:t> </w:t>
            </w:r>
            <w:r>
              <w:rPr>
                <w:rFonts w:ascii="Times New Roman;Times;Serif" w:hAnsi="Times New Roman;Times;Serif"/>
                <w:b/>
                <w:i/>
                <w:sz w:val="20"/>
              </w:rPr>
              <w:t>Business combinations and non-controlling interests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acquisitions of assets to assess whether the transaction should be accounted for as a business combination or an asset acquisition. In determining whether a particular set of activities and assets constitutes a business, the Group assesses whether the acquired set of assets and activities includes, at a minimum, an input and a substantive process, and whether it has the ability to produce outputs. The Group applies a ‘screen test’ that permits a simplified assessment of whether an acquired set of activities and assets is not a business. The test is met if substantially all of the fair value of the gross assets acquired is concentrated in a single identifiable asset or group of similar identifiable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 which the acquired is considered a business are accounted for as a business combination as described below. Conversely, transactions not considered as business acquisition are accounted for as acquisition of assets and liabilities. In such transactions, the cost of acquisition is allocated proportionately to the acquired identifiable assets and liabilities, based on their proportionate fair value on the acquisition date. In an asset acquisition, no goodwill is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its business combinations using the acquisition method of accounting in accordance with ASC 805 “Business Combinations”. The consideration transferred in a business combination is measured as the aggregate of the acquisition-date fair value of the assets transferred, liabilities incurred by the Group to the selling shareholders of the acquiree, and the equity interests issued by the Group. Transaction costs directly attributable to the acquisition are expensed as incurred. Identifiable assets acquired and liabilities assumed are measured separately at their fair value as of the acquisition date, irrespective of the extent of any non-controlling interests. The excess of (i) the consideration transferred, the fair value of any non-controlling interests and acquisition date fair value of any previously held equity interest in the acquiree over (ii) the fair value of the identifiable net assets of the acquiree, is recorded as goodwill.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for the Group’s business acquisitions may include future payments that are contingent upon the occurrence of a particular event or events. Contingent consideration also takes the form of a right of the Group to the returns of previously transferred assets or issued equity interests from the sellers of the acquired business. Both the rights and obligations for such contingent consideration returns and payments are recorded at fair value on the acquisition date. The Group’s contingent right to receive a return of some equity interests issued (i.e., contingently returnable shares) is recognized as an asset and measured at fair value. The Group’s obligation to pay contingent consideration is recognized and classified as a liability and measured at fair value. The contingent consideration rights and obligations are subsequently evaluated each reporting period with changes in fair value recognized as a gain or loss and recorded within change in the fair value of contingent assets and liabilities in the unaudited consolidated statements of (loss) income and comprehensive (loss)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Group’s majority-owned subsidiaries and subsidiaries of former VIEs, a non-controlling interest is recognized to reflect the portion of their equity which is not attributable, directly or indirectly, to the Group. Consolidated net income on the unaudited consolidated statements of (loss) income and comprehensive (loss) income includes the net income attributable to non-controlling interests. The cumulative results of operations attributable to non-controlling interests, are recorded as non-controlling interests on the Group’s unaudited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75"/>
        <w:gridCol w:w="200"/>
        <w:gridCol w:w="31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i/>
                <w:sz w:val="20"/>
              </w:rPr>
            </w:pPr>
            <w:r>
              <w:rPr>
                <w:b/>
                <w:i/>
                <w:sz w:val="20"/>
              </w:rPr>
              <w:t>(i)</w:t>
            </w:r>
          </w:p>
        </w:tc>
        <w:tc>
          <w:tcPr>
            <w:tcW w:w="3140" w:type="dxa"/>
            <w:tcBorders/>
            <w:vAlign w:val="center"/>
          </w:tcPr>
          <w:p>
            <w:pPr>
              <w:pStyle w:val="TableContents"/>
              <w:bidi w:val="0"/>
              <w:spacing w:before="0" w:after="283"/>
              <w:jc w:val="both"/>
              <w:rPr>
                <w:b/>
                <w:i/>
                <w:sz w:val="20"/>
              </w:rPr>
            </w:pPr>
            <w:r>
              <w:rPr>
                <w:b/>
                <w:i/>
                <w:sz w:val="20"/>
              </w:rPr>
              <w:t>Goodwill and Other 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Goodwill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purchase price over fair value of the identifiable net assets of businesses acquired in a business combination. Goodwill is not amortized and the Group assesses goodwill for impairment in accordance with ASC Subtopic 350-20, Intangibles-Goodwill and Other: Goodwill (“ASC 350-20”), which requires goodwill to be tested for impairment at the reporting unit level at least annually and more frequently upon the occurrence of certain events, as defined by ASC 350-20. For the six months ended June 30, 2025, the Group operated in one reporting unit. For the six months ended June 30, 2026, the Group operated in two reporting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impairment test is performed as of year-end or if an event occurs or circumstances change that would more likely than not reduce the fair value of a reporting unit below its carrying amount by comparing the fair value of a reporting unit with its carrying value. If the fair value of the reporting unit exceeds its carrying amount, goodwill is not impaired and no further testing is required. If the fair value of the reporting unit is less than the carrying value, an impairment charge is recognized for the amount by which the carrying amount exceeds the reporting unit’s fair value; however, the loss recognized should not exceed the total amount of goodwill allocated to that reporting unit.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impairment review is highly judgmental and involves the use of significant estimates and assumptions. These estimates and assumptions have a significant impact on the amount of any impairment charge recorded. Estimates of fair value are primarily determined by using discounted cash flows. Discounted cash flows method is dependent upon assumptions of future sales trends, market conditions and cash flows of each reporting unit over several years. Actual cash flows in the future may differ significantly from those previously forecasted. Other significant assumptions include growth rates and the discount rate applicable to future cash flows. The Group recorded an impairment loss on goodwill of nil and nil for the six months ended June 30, 2025 and 2026,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Intangible Assets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Identifiable intangibles assets are required to be determined separately from goodwill based on their fair values. In particular, an intangible asset acquired in a business combination should be recognized as an asset separate from goodwill if it satisfies either the “contractual-legal” or “separability” criterion. Intangible assets with a finite economic life are carried at cost less accumulated amortization. The useful lives of intangible assets are assessed to be either finite or indefinite. Intangible assets that are not considered to have an indefinite useful life are amortized over their estimated useful lives on a straight-line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useful lives for the Group’s intangible assets are as follows:</w:t>
      </w:r>
    </w:p>
    <w:p>
      <w:pPr>
        <w:pStyle w:val="TextBody"/>
        <w:bidi w:val="0"/>
        <w:spacing w:before="0" w:after="0"/>
        <w:ind w:left="0" w:right="0" w:firstLine="360"/>
        <w:jc w:val="both"/>
        <w:rPr>
          <w:caps w:val="false"/>
          <w:smallCaps w:val="false"/>
        </w:rPr>
      </w:pPr>
      <w:r>
        <w:rPr>
          <w:caps w:val="false"/>
          <w:smallCaps w:val="false"/>
        </w:rPr>
        <w:t> </w:t>
      </w:r>
    </w:p>
    <w:tbl>
      <w:tblPr>
        <w:tblW w:w="3699" w:type="dxa"/>
        <w:jc w:val="left"/>
        <w:tblInd w:w="0" w:type="dxa"/>
        <w:tblLayout w:type="fixed"/>
        <w:tblCellMar>
          <w:top w:w="0" w:type="dxa"/>
          <w:left w:w="0" w:type="dxa"/>
          <w:bottom w:w="0" w:type="dxa"/>
          <w:right w:w="0" w:type="dxa"/>
        </w:tblCellMar>
      </w:tblPr>
      <w:tblGrid>
        <w:gridCol w:w="2450"/>
        <w:gridCol w:w="60"/>
        <w:gridCol w:w="199"/>
        <w:gridCol w:w="915"/>
        <w:gridCol w:w="75"/>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Estimated</w:t>
              <w:br/>
              <w:t>useful lives</w:t>
              <w:br/>
              <w:t>(Years)</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Software</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center"/>
              <w:rPr/>
            </w:pPr>
            <w:r>
              <w:rPr/>
              <w:t> </w:t>
            </w:r>
          </w:p>
        </w:tc>
        <w:tc>
          <w:tcPr>
            <w:tcW w:w="915" w:type="dxa"/>
            <w:tcBorders/>
            <w:shd w:fill="CCEEFF" w:val="clear"/>
            <w:vAlign w:val="center"/>
          </w:tcPr>
          <w:p>
            <w:pPr>
              <w:pStyle w:val="TableContents"/>
              <w:bidi w:val="0"/>
              <w:spacing w:before="0" w:after="283"/>
              <w:jc w:val="center"/>
              <w:rPr/>
            </w:pPr>
            <w:r>
              <w:rPr/>
              <w:t>3</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Non-compete agreements</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center"/>
              <w:rPr/>
            </w:pPr>
            <w:r>
              <w:rPr/>
              <w:t> </w:t>
            </w:r>
          </w:p>
        </w:tc>
        <w:tc>
          <w:tcPr>
            <w:tcW w:w="915" w:type="dxa"/>
            <w:tcBorders/>
            <w:vAlign w:val="center"/>
          </w:tcPr>
          <w:p>
            <w:pPr>
              <w:pStyle w:val="TableContents"/>
              <w:bidi w:val="0"/>
              <w:spacing w:before="0" w:after="283"/>
              <w:jc w:val="center"/>
              <w:rPr>
                <w:sz w:val="20"/>
              </w:rPr>
            </w:pPr>
            <w:r>
              <w:rPr>
                <w:sz w:val="20"/>
              </w:rPr>
              <w:t>5.8 - 6</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Agent resources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center"/>
              <w:rPr/>
            </w:pPr>
            <w:r>
              <w:rPr/>
              <w:t> </w:t>
            </w:r>
          </w:p>
        </w:tc>
        <w:tc>
          <w:tcPr>
            <w:tcW w:w="915" w:type="dxa"/>
            <w:tcBorders/>
            <w:shd w:fill="CCEEFF" w:val="clear"/>
            <w:vAlign w:val="center"/>
          </w:tcPr>
          <w:p>
            <w:pPr>
              <w:pStyle w:val="TableContents"/>
              <w:bidi w:val="0"/>
              <w:spacing w:before="0" w:after="283"/>
              <w:jc w:val="center"/>
              <w:rPr>
                <w:sz w:val="20"/>
              </w:rPr>
            </w:pPr>
            <w:r>
              <w:rPr>
                <w:sz w:val="20"/>
              </w:rPr>
              <w:t>2.8 - 3</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Brokerage license</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center"/>
              <w:rPr/>
            </w:pPr>
            <w:r>
              <w:rPr/>
              <w:t> </w:t>
            </w:r>
          </w:p>
        </w:tc>
        <w:tc>
          <w:tcPr>
            <w:tcW w:w="915"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75"/>
        <w:gridCol w:w="200"/>
        <w:gridCol w:w="19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i/>
                <w:sz w:val="20"/>
              </w:rPr>
            </w:pPr>
            <w:r>
              <w:rPr>
                <w:b/>
                <w:i/>
                <w:sz w:val="20"/>
              </w:rPr>
              <w:t>(j)</w:t>
            </w:r>
          </w:p>
        </w:tc>
        <w:tc>
          <w:tcPr>
            <w:tcW w:w="1955" w:type="dxa"/>
            <w:tcBorders/>
            <w:vAlign w:val="center"/>
          </w:tcPr>
          <w:p>
            <w:pPr>
              <w:pStyle w:val="TableContents"/>
              <w:bidi w:val="0"/>
              <w:spacing w:before="0" w:after="283"/>
              <w:jc w:val="left"/>
              <w:rPr>
                <w:b/>
                <w:i/>
                <w:sz w:val="20"/>
              </w:rPr>
            </w:pPr>
            <w:r>
              <w:rPr>
                <w:b/>
                <w:i/>
                <w:sz w:val="20"/>
              </w:rPr>
              <w:t>Investment in Affiliates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the equity method of accounting for investments in which the Group has the ability to exercise significant influence but does not have the controlling ability.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5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 2024, BWWS Limited (“BWW”), a wholly-owned subsidiary of the Group, disposed of its controlling financial interests in its majority-owned subsidiaries Brave Moon Limited (“BML”) and Avantech Solutions Limited (“Avantech”) to the minority shareholder through entering into a supplement joint venture agreement (the “Joint Venture Agreement”) to share the power with the other shareholder to jointly control the strategic operating, investing, and financing decisions over BML and Avantech. The Group accounted for the investments using the equity method and the fair value of the retained interests as of the date of joint control forms the basis for the initial measurement. The Group therefore recorded an investment loss of RMB79 in others, net in the consolidated statement of income and comprehensive income (loss) and derecognized the non-controlling interests in BML and Avantech which are not attributable, directly or indirectly, to the Group amounting to RMB6,438 in the consolidated statement of changes in shareholders’ equity for the year ended December 31, 2024. In May 2025, The Group disposed of all of its shares in BML and Avantech to the minority shareholder for a cash consideration of RMB354 and recorded a disposal loss of RMB4,330.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5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27, 2024, the Group’s wholly owned subsidiary entered into transaction agreements with BGM to exchange its equity shares in Xinbao Investment and Fanhua RONS Technologies. At the completion of the transaction, the Group acquired 69,995,661 Class A ordinary shares of BGM, accounting for 72% of its equity interest and 3.4% of voting right at that date. </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30, 2025, the Group transferred 53,466,331 Class A ordinary shares of BGM to third parties for US$106,900. Following the transaction, the Group no longer exerted significant influence over BGM and accounted for the remaining Class A ordinary shares as non-current assets, measured at the fair value of the equity interests exchanged (see Note 3 for details).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continually reviews its investment in equity investees to determine whether a decline in fair value to an amount below the carrying value is other-than-temporary. The primary factors the Group considers in its determination are the duration and severity of the decline in fair value; the financial condition, operating performance and the prospects of the equity investee; and other company specific information such as the stock price of the investee and its corresponding volatility, if publicly traded, the Group’s intent and ability to hold the investment until recovery, and changes in the macro-economic, competitive and operational environment of the investee. If the decline in fair value is deemed to be other-than-temporary, the carrying value of the equity investee is written down to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firstLine="36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75"/>
        <w:gridCol w:w="245"/>
        <w:gridCol w:w="19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i/>
                <w:sz w:val="20"/>
              </w:rPr>
            </w:pPr>
            <w:r>
              <w:rPr>
                <w:b/>
                <w:i/>
                <w:sz w:val="20"/>
              </w:rPr>
              <w:t>(k)</w:t>
            </w:r>
          </w:p>
        </w:tc>
        <w:tc>
          <w:tcPr>
            <w:tcW w:w="1925" w:type="dxa"/>
            <w:tcBorders/>
            <w:vAlign w:val="center"/>
          </w:tcPr>
          <w:p>
            <w:pPr>
              <w:pStyle w:val="TableContents"/>
              <w:bidi w:val="0"/>
              <w:spacing w:before="0" w:after="283"/>
              <w:jc w:val="both"/>
              <w:rPr>
                <w:b/>
                <w:i/>
                <w:sz w:val="20"/>
              </w:rPr>
            </w:pPr>
            <w:r>
              <w:rPr>
                <w:b/>
                <w:i/>
                <w:sz w:val="20"/>
              </w:rPr>
              <w:t>Long-term Investments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mainly represent long-term equity investments accounted for under the measurement alternative method and an investment in debt securities classified as held-to-maturity which is measured at amortized cost.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securities without readily determinable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long-term investments in equity security of certain privately held companies which the Group exerts no significant influence or a controlling interest. As a result of adoption of “</w:t>
      </w:r>
      <w:r>
        <w:rPr>
          <w:rFonts w:ascii="Times New Roman;Times;Serif" w:hAnsi="Times New Roman;Times;Serif"/>
          <w:b w:val="false"/>
          <w:i/>
          <w:caps w:val="false"/>
          <w:smallCaps w:val="false"/>
          <w:sz w:val="20"/>
        </w:rPr>
        <w:t>Financial Instruments-Overall (Subtopic 825-10): Recognition and Measurement of Financial Assets and Financial Liabilities</w:t>
      </w:r>
      <w:r>
        <w:rPr>
          <w:rFonts w:ascii="Times New Roman;Times;Serif" w:hAnsi="Times New Roman;Times;Serif"/>
          <w:b w:val="false"/>
          <w:i w:val="false"/>
          <w:caps w:val="false"/>
          <w:smallCaps w:val="false"/>
          <w:sz w:val="20"/>
        </w:rPr>
        <w:t>” (“ASU 2016-01”) in January 1, 2019, equity securities without readily determinable fair values that do not qualify for the practical expedient in ASC 820, Fair Value Measurements and Disclosure to estimate fair value using the net asset value per share (or its equivalent) of the investment, are measured and recorded using a measurement alternative that measures the securities at cost less impairment, if any, plus or minus changes resulting from qualifying observable price changes. Significant judgments are required to determine whether observable price changes are orderly transactions and identical or similar to an investment held by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each reporting period, the Group makes a qualitative assessment considering impairment indicators to separately evaluate whether each of its equity securities without readily determinable fair value is impaired. Impairment indicators that the Group considers include, but are not limited to a significant deterioration in the earnings performance, credit rating, asset quality, or business prospects of the investee, factors such as negative cash flows from operations and working capital deficiencies that raise significant concerns about the investee’s ability to continue as a going concern, current economic and market conditions and other specific information. If a qualitative assessment indicates that the investment is impaired, the entity has to estimate the investment’s fair value in accordance with the principles of ASC 820. If the fair value is less than the investment’s carrying value, the Group recognizes an impairment loss in earnings equal to the difference between the carrying value and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recorded an impairment of nil and nil during the six months ended June 30, 2025 and 2026, respectively, in the unaudited consolidated statements of (loss) income and comprehensive (loss) income.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 debt securities with embedded features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Group held a two-year-term debt security valued at RMB125,000 with a fixed return rate of 6% and an additional earning right contingently upon certain conditions met within the contract term. The Group considered the host contract as a debt security and classified the investment as a held-to-maturity security which is measured subsequently at amortized cost as the Group has the positive intent and ability to hold it to maturity. As of June 30, 2026, the debt security was recorded in other non-current assets, net of the consolidated balance sheets.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evaluated the additional earning right as a derivative instrument that is “embedded” to the host contract in accordance with ASC 815. The Group considered the stated and implied substantive features of the contract as well as the economic characteristics and risks of the hybrid instrument and determined that the additional earning right be considered as an embedded derivative separated from the host contract and accounted it for as a derivative instrument. The Group classified the embedded derivative measured at fair value and change in fair value is charged through profit or loss. As of December 31, 2025 and June 30, 2026, the fair value of the embedded derivative was immaterial.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recorded impairment loss on investment in debt securities of nil and nil during the six months ended June 30, 2025 and 2026, respectively, in the unaudited consolidated statements of (loss) income and comprehensive (loss) income. </w:t>
      </w:r>
    </w:p>
    <w:p>
      <w:pPr>
        <w:pStyle w:val="TextBody"/>
        <w:bidi w:val="0"/>
        <w:spacing w:before="0" w:after="0"/>
        <w:ind w:left="0" w:right="0" w:firstLine="432"/>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105"/>
        <w:gridCol w:w="230"/>
        <w:gridCol w:w="2840"/>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b/>
                <w:i/>
                <w:sz w:val="20"/>
              </w:rPr>
            </w:pPr>
            <w:r>
              <w:rPr>
                <w:b/>
                <w:i/>
                <w:sz w:val="20"/>
              </w:rPr>
              <w:t>(l)</w:t>
            </w:r>
          </w:p>
        </w:tc>
        <w:tc>
          <w:tcPr>
            <w:tcW w:w="2840" w:type="dxa"/>
            <w:tcBorders/>
            <w:vAlign w:val="center"/>
          </w:tcPr>
          <w:p>
            <w:pPr>
              <w:pStyle w:val="TableContents"/>
              <w:bidi w:val="0"/>
              <w:spacing w:before="0" w:after="283"/>
              <w:jc w:val="both"/>
              <w:rPr>
                <w:b/>
                <w:i/>
                <w:sz w:val="20"/>
              </w:rPr>
            </w:pPr>
            <w:r>
              <w:rPr>
                <w:b/>
                <w:i/>
                <w:sz w:val="20"/>
              </w:rPr>
              <w:t>Impairment of Long-Lived Assets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plant, and equipment and intangible assets with definite lives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the amount by which the carrying value of the asset exceeds the fair value of the asset. The Group recorded impairment on long-lived assets of nil and nil for the six months ended June 30, 2025 and 2026.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1440" w:right="0" w:hanging="72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75"/>
        <w:gridCol w:w="290"/>
        <w:gridCol w:w="245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b/>
                <w:i/>
                <w:sz w:val="20"/>
              </w:rPr>
            </w:pPr>
            <w:r>
              <w:rPr>
                <w:b/>
                <w:i/>
                <w:sz w:val="20"/>
              </w:rPr>
              <w:t>(m)</w:t>
            </w:r>
          </w:p>
        </w:tc>
        <w:tc>
          <w:tcPr>
            <w:tcW w:w="2450" w:type="dxa"/>
            <w:tcBorders/>
            <w:vAlign w:val="center"/>
          </w:tcPr>
          <w:p>
            <w:pPr>
              <w:pStyle w:val="TableContents"/>
              <w:bidi w:val="0"/>
              <w:spacing w:before="0" w:after="283"/>
              <w:jc w:val="both"/>
              <w:rPr>
                <w:b/>
                <w:i/>
                <w:sz w:val="20"/>
              </w:rPr>
            </w:pPr>
            <w:r>
              <w:rPr>
                <w:b/>
                <w:i/>
                <w:sz w:val="20"/>
              </w:rPr>
              <w:t>Insurance Premium Payables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premium payables are insurance premiums collected on behalf of insurance companies but not yet remitted as of the balance sheet dates.</w:t>
      </w:r>
    </w:p>
    <w:p>
      <w:pPr>
        <w:pStyle w:val="TextBody"/>
        <w:bidi w:val="0"/>
        <w:spacing w:before="0" w:after="0"/>
        <w:ind w:left="0" w:right="0" w:firstLine="36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75"/>
        <w:gridCol w:w="245"/>
        <w:gridCol w:w="137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i/>
                <w:sz w:val="20"/>
              </w:rPr>
            </w:pPr>
            <w:r>
              <w:rPr>
                <w:b/>
                <w:i/>
                <w:sz w:val="20"/>
              </w:rPr>
              <w:t>(n)</w:t>
            </w:r>
          </w:p>
        </w:tc>
        <w:tc>
          <w:tcPr>
            <w:tcW w:w="1370" w:type="dxa"/>
            <w:tcBorders/>
            <w:vAlign w:val="center"/>
          </w:tcPr>
          <w:p>
            <w:pPr>
              <w:pStyle w:val="TableContents"/>
              <w:bidi w:val="0"/>
              <w:spacing w:before="0" w:after="283"/>
              <w:jc w:val="both"/>
              <w:rPr>
                <w:b/>
                <w:i/>
                <w:sz w:val="20"/>
              </w:rPr>
            </w:pPr>
            <w:r>
              <w:rPr>
                <w:b/>
                <w:i/>
                <w:sz w:val="20"/>
              </w:rPr>
              <w:t>Treasury Shares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Treasury shares represent ordinary shares repurchased by the Group that are no longer outstanding and are held by the Group. The repurchased ordinary shares are recorded whereby the total par value of shares acquired is recorded as treasury stock and the difference between the par value and the amount of cash paid is recorded in additional paid-in capital. If additional paid-in capital is not available or is not sufficient, the remaining amount is to reduce retained earnings. Ordinary shares issued in business combinations through an exchange of equity interests that are subsequently returned to the Group are also accounted for treasury shares. The Group had nil and nil treasury shares as of December 31,2025 and June 30, 2026. </w:t>
      </w:r>
    </w:p>
    <w:p>
      <w:pPr>
        <w:pStyle w:val="TextBody"/>
        <w:bidi w:val="0"/>
        <w:spacing w:before="0" w:after="0"/>
        <w:ind w:left="0" w:right="0" w:firstLine="360"/>
        <w:jc w:val="both"/>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105"/>
        <w:gridCol w:w="275"/>
        <w:gridCol w:w="1250"/>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i/>
                <w:sz w:val="20"/>
              </w:rPr>
            </w:pPr>
            <w:r>
              <w:rPr>
                <w:b/>
                <w:i/>
                <w:sz w:val="20"/>
              </w:rPr>
              <w:t>(o)</w:t>
            </w:r>
          </w:p>
        </w:tc>
        <w:tc>
          <w:tcPr>
            <w:tcW w:w="1250" w:type="dxa"/>
            <w:tcBorders/>
            <w:vAlign w:val="center"/>
          </w:tcPr>
          <w:p>
            <w:pPr>
              <w:pStyle w:val="TableContents"/>
              <w:bidi w:val="0"/>
              <w:spacing w:before="0" w:after="283"/>
              <w:jc w:val="both"/>
              <w:rPr>
                <w:b/>
                <w:i/>
                <w:sz w:val="20"/>
              </w:rPr>
            </w:pPr>
            <w:r>
              <w:rPr>
                <w:b/>
                <w:i/>
                <w:sz w:val="20"/>
              </w:rPr>
              <w:t>Income Taxes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asset and liability method. Deferred income taxes are recognized for temporary differences between the tax basis of assets and liabilities and their reported amounts in the consolidated financial statements, net operating loss carryforwards and credits by applying enacted statutory tax rates applicable to future years. Deferred tax assets are reduced by a valuation allowance when, in the opinion of management, it is more likely than not that some portion or all of the deferred tax assets will not be realized.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records uncertain tax positions in accordance with ASC 740 on the basis of a two-step process in which (1) it determines whether it is more likely than not that the tax positions will be sustained on the basis of the technical merits of the position and (2) for those tax positions that meet the more-likely-than-not recognition threshold, the Group recognizes the largest amount of tax benefit that is more than 50 percent likely to be realized upon ultimate settlement with the related tax authority. The Group recognizes interest and penalties related to unrecognized tax benefits, if any, on the income tax expense line in the accompanying unaudited consolidated statements of (loss) income and comprehensive (loss) income. Accrued interest or penalties are included on the other tax liabilities line in the consolidated balance sheets.</w:t>
      </w:r>
    </w:p>
    <w:p>
      <w:pPr>
        <w:pStyle w:val="TextBody"/>
        <w:bidi w:val="0"/>
        <w:spacing w:before="0" w:after="0"/>
        <w:ind w:left="0" w:right="0" w:firstLine="36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105"/>
        <w:gridCol w:w="275"/>
        <w:gridCol w:w="2360"/>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i/>
                <w:sz w:val="20"/>
              </w:rPr>
            </w:pPr>
            <w:r>
              <w:rPr>
                <w:b/>
                <w:i/>
                <w:sz w:val="20"/>
              </w:rPr>
              <w:t>(p)</w:t>
            </w:r>
          </w:p>
        </w:tc>
        <w:tc>
          <w:tcPr>
            <w:tcW w:w="2360" w:type="dxa"/>
            <w:tcBorders/>
            <w:vAlign w:val="center"/>
          </w:tcPr>
          <w:p>
            <w:pPr>
              <w:pStyle w:val="TableContents"/>
              <w:bidi w:val="0"/>
              <w:spacing w:before="0" w:after="283"/>
              <w:jc w:val="both"/>
              <w:rPr>
                <w:b/>
                <w:i/>
                <w:sz w:val="20"/>
              </w:rPr>
            </w:pPr>
            <w:r>
              <w:rPr>
                <w:b/>
                <w:i/>
                <w:sz w:val="20"/>
              </w:rPr>
              <w:t>Share-based Compensation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forms of share-based payments to employees and nonemployees, including restricted share units, stock options and stock purchase plans, are treated the same as any other form of compensation by recognizing the related cost in the unaudited consolidated statements of (loss) income and comprehensive (loss) income. The Group recognizes compensation cost for an award with only service conditions that has a graded vesting schedule on a straight-line basis over the requisite service period for the entire award, provided that the amount of compensation cost recognized at any date must at least equal to the portion of the grant-date value of the award that is vested at that date. For awards with both service and performance conditions, if each tranche has an independent performance condition for a specified period of service, the Group recognizes the compensation cost of each tranche as a separate award on a straight-line basis; if each tranche has performance conditions that are dependent of activities that occur in the prior service periods, the Group recognizes the compensation cost on a straight-line basis over the requisite service period for each separately vesting portion of the award as if the award was, in-substance, multiple awards. The Group has made an accounting policy election to account for forfeitures when they occur for an award with only service conditions. For an award with a performance condition, the Group continues to assess at each reporting period whether it is probable that the performance condition will be achieved. No compensation cost is recognized for instruments that employees and nonemployees forfeit because a service condition or a performance condition is not satisfied.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080" w:right="0" w:hanging="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share-based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cost related to employee stock options or similar equity instruments is measured at the grant date based on the fair value of the award and is recognized over the service period, which is usually the vesting period. If an award requires satisfaction of one or more performance or service conditions (or any combination thereof), compensation cost is recognized if the requisite service is rendered, while no compensation cost is recognized if the requisite service is not rendered.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firstLine="11"/>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Nonemployee share-based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accounting requirement for employee share-based compensation, nonemployee share-based compensation within the scope of Topic 718 are measured at grant-date fair value of the equity instruments, which the Group is obligated to issue when the service has been rendered and any other conditions necessary to earn the right to benefit from the instruments have been satisfied.</w:t>
      </w:r>
    </w:p>
    <w:p>
      <w:pPr>
        <w:pStyle w:val="TextBody"/>
        <w:bidi w:val="0"/>
        <w:spacing w:before="0" w:after="0"/>
        <w:ind w:left="0" w:right="0" w:firstLine="36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105"/>
        <w:gridCol w:w="275"/>
        <w:gridCol w:w="2075"/>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i/>
                <w:sz w:val="20"/>
              </w:rPr>
            </w:pPr>
            <w:r>
              <w:rPr>
                <w:b/>
                <w:i/>
                <w:sz w:val="20"/>
              </w:rPr>
              <w:t>(q)</w:t>
            </w:r>
          </w:p>
        </w:tc>
        <w:tc>
          <w:tcPr>
            <w:tcW w:w="2075" w:type="dxa"/>
            <w:tcBorders/>
            <w:vAlign w:val="center"/>
          </w:tcPr>
          <w:p>
            <w:pPr>
              <w:pStyle w:val="TableContents"/>
              <w:bidi w:val="0"/>
              <w:spacing w:before="0" w:after="283"/>
              <w:jc w:val="both"/>
              <w:rPr>
                <w:b/>
                <w:i/>
                <w:sz w:val="20"/>
              </w:rPr>
            </w:pPr>
            <w:r>
              <w:rPr>
                <w:b/>
                <w:i/>
                <w:sz w:val="20"/>
              </w:rPr>
              <w:t>Employee Benefit Plans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stipulated by the regulations of the PRC, the Group’s subsidiaries in the PRC participate in various defined contribution plans organized by municipal and provincial governments for its employees. The Group is required to make contributions to these plans at a percentage of the salaries, bonuses and certain allowances of the employees. Under these plans, certain pension, medical and other welfare benefits are provided to employees. The Group has no other material obligation for the payment of employee benefits associated with these plans other than the annual contributions described above. The contributions are charged to the unaudited consolidated statements of (loss) income and comprehensive (loss) income as they become payable in accordance with the rules of the above mentioned defined contribution plans.</w:t>
      </w:r>
    </w:p>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105"/>
        <w:gridCol w:w="245"/>
        <w:gridCol w:w="1865"/>
      </w:tblGrid>
      <w:tr>
        <w:trPr/>
        <w:tc>
          <w:tcPr>
            <w:tcW w:w="10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i/>
                <w:sz w:val="20"/>
              </w:rPr>
            </w:pPr>
            <w:r>
              <w:rPr>
                <w:b/>
                <w:i/>
                <w:sz w:val="20"/>
              </w:rPr>
              <w:t>(r)</w:t>
            </w:r>
          </w:p>
        </w:tc>
        <w:tc>
          <w:tcPr>
            <w:tcW w:w="1865" w:type="dxa"/>
            <w:tcBorders/>
            <w:vAlign w:val="center"/>
          </w:tcPr>
          <w:p>
            <w:pPr>
              <w:pStyle w:val="TableContents"/>
              <w:bidi w:val="0"/>
              <w:spacing w:before="0" w:after="283"/>
              <w:jc w:val="both"/>
              <w:rPr>
                <w:b/>
                <w:i/>
                <w:sz w:val="20"/>
              </w:rPr>
            </w:pPr>
            <w:r>
              <w:rPr>
                <w:b/>
                <w:i/>
                <w:sz w:val="20"/>
              </w:rPr>
              <w:t>Revenue Recognition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revenue when its customer obtains control of promised goods or services in an amount that reflects the consideration which the Group expects to receive in exchange for those goods or services. For revenue recognition, the Group evaluates the arrangements within the scope of Topic 606 and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revenue from contracts with insurance companies is derived principally from the provision of agency and claims adjusting services, and insurance companies are defined as the Group’s customers under ASC 606 “Revenue from Contracts with Customers” (“ASC 606”). The Group disaggregates its revenue from different types of service contracts with customers by principal service categories, as the Group believes it best depicts the nature, amount, timing and uncertainty of its revenue and cash flows. See Note 22 for detailed disaggregated revenue information that is disclosed for each reportable segment.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accounting policy for the principal revenue streams of the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080" w:right="0" w:hanging="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Insurance agency services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derives agency revenue serving as a sales agent to distribute various life insurance and property and casualty (“P&amp;C”) insurance products on behalf of insurance companies by which the Group is entitled to receive an initial commission from the insurance companies based on the premium paid by the policyholders for the related insurance policy sold. For life insurance agency, the Group is also entitled to renewal commissions when the policyholder renews the policy within the renewal term of the original policy as such life insurance products are typically long-term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identified its promise to sell insurance products on behalf of an insurance company as the performance obligation in its contracts with the insurance companies. The Group’s performance obligation to the insurance company is satisfied and revenue is recognized at a point in time when an insurance policy becomes effective. Specifically for life insurance agency business, certain contracts include the promise to provide certain post-sales administrative services to policyholders on behalf of the insurance company, such as responding to the policyholder inquiries, facilitating the renewal process and/or gathering information from the policyholder to assist the insurance companies to update the contact information of the policy holder, the Group has concluded such services are administrative in nature and immaterial, and none of these activities on their own results in a transfer of a goods or services to the insurance company in the context of the contract. Accordingly, no performance obligation exists after a policy becomes effective.</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Initial placement of an insurance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recognizes agency revenue related P&amp;C insurance products (which is short term in nature and related premiums are collected upfront) when an insurance policy becomes effective. The commission to be earned is required to be partially refunded contingently on policy cancellations. Based on its past experience, subsequent commission adjustments in connection with P&amp;C insurance policy cancellations have been de minims to date, and are recognized upon notification from the insurance carriers. Actual commission and fee adjustments in connection with the cancellation of P&amp;C insurance policies were 0.1% and 0.1% of the total commission and fee revenues for the six months ended June 30, 2025 and 2026,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life insurance products, there is generally a 10 to 15 days hesitation period after an initial placement of a life insurance policy, during which the policyholder has a legal right to unconditionally cancel the effective policy regardless of the reasons. According to relevant terms of the insurance agency contracts with customers, the Group reconciles information of policies sold which also includes policies that have been cancelled by policyholders within the hesitation period, with the insurance companies on a monthly basis. Therefore, the Group estimates cancellation of policies that have become effective but are still within the hesitation period based on subsequent actual data at each reporting date. The cancellation of an effective life insurance policy by the policyholder after the hesitation period does not require the Group to refund initial commission to insurance companies, but rather impacts the Group’s estimate on future commission related to renewal(s) of the policy.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for life insurance agency, the Group may receive a performance bonus from insurance companies as agreed and per contract provisions. Once the Group achieves a certain sales volume based on respective agency agreements, the bonus will become due. Performance bonus represents a form of variable consideration associated with certain sales volume, for which the Group earns commissions. The Group estimates the amount of consideration with a constraint applied that will be received in the coming year such that a significant reversal of revenue is not probable, and includes performance bonus as part of the transaction price. For the six months ended June 30, 2025 and 2026, the Group recognized contingent performance bonus of RMB31 and RMB24,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Renewals of a life insurance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long-term life insurance products, in addition to the initial commission earned, the Group is also entitled to subsequent renewal commission and compensation, and renewal performance bonus which represents variable considerations and are contingent on future renewals of initial policies or the Group achieves its performance target.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making estimates of the amount of variable consideration to which the Group expects to be entitled, the Group uses the expected value method and evaluates many factors, including but not limited to, insurance companies mix, product mix, renewal term of various products, renewal premium rates and commission rates, to determine the method(s) of measurement, relevant inputs and the underlying assumptions. The Group considers constraints as well when determining the amount which should be included in the transaction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performs ongoing evaluation of the appropriateness of the constraint applied and will consider the sufficiency of evidence that would suggest that the long-term expectation underlying the assumptions has changed. The Group makes an estimate of variable considerations over the portfolio of contracts based on accumulated historical data and experiences. The estimated renewal commissions are contingent on future renewals of initial policies or achievement of certain performance targets. Given the material uncertainty around the future renewal of the insurance policies, the estimated renewal commissions expected to be collected are recognized as revenue only to the extent that it is probable that a significant reversal in the amount of cumulative revenue recognized will not occur when the uncertainty is subsequently resolved. The judgment and assumptions are continuously re-evaluated and adjusted as needed along with the accumulation of historical experiences and data when new information becomes available. Actual renewal commissions in the future may differ significantly from those previously estimated.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sales of health and wellness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enters into contracts with customers for the sale of dark tea products. Each contract is assessed at inception and is determined to contains a single performance obligation, which is the promise to transfer the products to customers. This performance obligation is distinct and separately identifiable from any other promises within the contract and is satisfied at a point in time when control of the promised products transfers to the customer, which generally occurs upon delivery and acceptance of the products by the customer, in accordance with ASC 606-10-25-30. Revenue is recognized at that point in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sales contracts generally provide that if the products do not conform to the contract requirements or have quality defects, the customer is required to return the goods within three business days. This represents a limited right of return. The Group estimates expected returns based on historical return experience and other relevant factors, and recognizes a refund liability and a corresponding return asset, with a corresponding adjustment to cost of sales, in accordance with ASC 606.Historically, product returns have been immaterial. The existence of this limited right of return does not preclude recognition of revenue upon transfer of control, as the right of return is accounted for as variable consideration.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acts as principal in these arrangements pursuant to ASC 606-10-55-36 through 55-40, as the Group (1) is the primary obligor responsible for fulfilling the promise to deliver the products to the customers; (2) bears inventory risk and customer credit risk;(3) has the ability to direct the use of, and obtain substantially all of the remaining benefits from, the products before they are transferred to the customer; and (4) has discretion in establishing the selling price of the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080" w:right="0" w:hanging="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Insurance claims adjusting services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insurance claims adjusting services, performance obligations are considered met and revenue is recognized when the services are rendered and completed, at the time loss adjusting reports are confirmed being received by insurance companies. The Group does not accrue any service fee before the receipt of an insurance company’s acknowledgement of receiving the adjusting reports. Any subsequent adjustments in connection with discounts which have been de minims to date are recognized in revenue upon notification from the insurance companies. In January 2025, the Group divested its entire equity interest in Guangdong Meidiya Investment Co., Ltd. and its subsidiaries, which comprised the Group’s claims-adjusting segment. Since completion of the disposal, the Group has ceased providing claims adjusting services (see Note 4 for details)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balances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contract balances include accounts receivable and contract asset. The balances of accounts receivable as of December 31,2025 and June 30, 2026 are all derived from contracts with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recognized revenues and correspondent contract assets derived from estimated renewal commissions for selling long-term life insurance products because it is entitled to payments of the subsequent renewal commissions which are contingent on future renewals of initial policies and/or the achievement of its performance target set forth in relation to future renewals other than the passage of time. Accordingly, the Group presented contract assets separately in the unaudited consolidated balance sheets which include both the amount derived from estimated renewal commissions and the amount of commissions in relation to policies that are still within the hesitation period by the period-end date. The contract assets balance will be reclassified to accounts receivable once the initial policies have been renewed and/or the Group has achieved certain renewal target in subsequent years within the renewal term of the policies, or upon the hesitation period expires.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Practical expedients and exemptions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generally expenses sales commissions when incurred because the amortization period would have been one year or less. These costs are recorded within sales and marketing expenses in the unaudited consolidated statements of (loss) income and comprehensive (loss) income, as the amortization period is less than one year and the Group has elected the practical expedient included in ASC 606.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applied the optional exemption provided by ASC 606 to not disclose the value of remaining performance obligations not yet satisfied as of period end for contracts with original expected duration of one year or 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Value-added tax and surcharges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presents revenue net of tax surcharges and value-added taxes incurred. The tax surcharges amounted to RMB1,784 and RMB1,230 for the six months ended June 30, 2025 and 2026, respectively.  </w:t>
      </w:r>
    </w:p>
    <w:p>
      <w:pPr>
        <w:pStyle w:val="TextBody"/>
        <w:bidi w:val="0"/>
        <w:spacing w:before="0" w:after="0"/>
        <w:ind w:left="0" w:right="0" w:firstLine="357"/>
        <w:jc w:val="both"/>
        <w:rPr>
          <w:caps w:val="false"/>
          <w:smallCaps w:val="false"/>
        </w:rPr>
      </w:pPr>
      <w:r>
        <w:rPr>
          <w:caps w:val="false"/>
          <w:smallCaps w:val="false"/>
        </w:rPr>
        <w:t> </w:t>
      </w:r>
    </w:p>
    <w:p>
      <w:pPr>
        <w:pStyle w:val="TextBody"/>
        <w:bidi w:val="0"/>
        <w:spacing w:before="0" w:after="0"/>
        <w:ind w:left="0" w:right="0" w:firstLine="35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value-added taxes paid by the Group during the six months ended June 30, 2025 and 2026 amounted to RMB11,288 and RMB10,946 respectively. </w:t>
      </w:r>
    </w:p>
    <w:p>
      <w:pPr>
        <w:pStyle w:val="TextBody"/>
        <w:bidi w:val="0"/>
        <w:spacing w:before="0" w:after="0"/>
        <w:ind w:left="0" w:right="0" w:hanging="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105"/>
        <w:gridCol w:w="245"/>
        <w:gridCol w:w="3110"/>
      </w:tblGrid>
      <w:tr>
        <w:trPr/>
        <w:tc>
          <w:tcPr>
            <w:tcW w:w="10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i/>
                <w:sz w:val="20"/>
              </w:rPr>
            </w:pPr>
            <w:r>
              <w:rPr>
                <w:b/>
                <w:i/>
                <w:sz w:val="20"/>
              </w:rPr>
              <w:t>(s)</w:t>
            </w:r>
          </w:p>
        </w:tc>
        <w:tc>
          <w:tcPr>
            <w:tcW w:w="3110" w:type="dxa"/>
            <w:tcBorders/>
            <w:vAlign w:val="center"/>
          </w:tcPr>
          <w:p>
            <w:pPr>
              <w:pStyle w:val="TableContents"/>
              <w:bidi w:val="0"/>
              <w:spacing w:before="0" w:after="283"/>
              <w:jc w:val="both"/>
              <w:rPr>
                <w:b/>
                <w:i/>
                <w:sz w:val="20"/>
              </w:rPr>
            </w:pPr>
            <w:r>
              <w:rPr>
                <w:b/>
                <w:i/>
                <w:sz w:val="20"/>
              </w:rPr>
              <w:t>Fair Value of Financial Instruments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considered to be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considers assumptions that market participants would use when pricing the asset or liability. The established fair value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may be used to measure fair value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16"/>
        <w:gridCol w:w="60"/>
        <w:gridCol w:w="9554"/>
      </w:tblGrid>
      <w:tr>
        <w:trPr/>
        <w:tc>
          <w:tcPr>
            <w:tcW w:w="75" w:type="dxa"/>
            <w:tcBorders/>
            <w:vAlign w:val="center"/>
          </w:tcPr>
          <w:p>
            <w:pPr>
              <w:pStyle w:val="TableContents"/>
              <w:bidi w:val="0"/>
              <w:spacing w:before="0" w:after="283"/>
              <w:ind w:left="0" w:right="0" w:hanging="200"/>
              <w:jc w:val="left"/>
              <w:rPr/>
            </w:pPr>
            <w:r>
              <w:rPr/>
              <w:t> </w:t>
            </w:r>
          </w:p>
        </w:tc>
        <w:tc>
          <w:tcPr>
            <w:tcW w:w="516" w:type="dxa"/>
            <w:tcBorders/>
            <w:vAlign w:val="center"/>
          </w:tcPr>
          <w:p>
            <w:pPr>
              <w:pStyle w:val="TableContents"/>
              <w:bidi w:val="0"/>
              <w:spacing w:before="0" w:after="283"/>
              <w:jc w:val="both"/>
              <w:rPr>
                <w:sz w:val="20"/>
              </w:rPr>
            </w:pPr>
            <w:r>
              <w:rPr>
                <w:sz w:val="20"/>
              </w:rPr>
              <w:t>Level 1</w:t>
            </w:r>
          </w:p>
        </w:tc>
        <w:tc>
          <w:tcPr>
            <w:tcW w:w="60" w:type="dxa"/>
            <w:tcBorders/>
            <w:vAlign w:val="center"/>
          </w:tcPr>
          <w:p>
            <w:pPr>
              <w:pStyle w:val="TableContents"/>
              <w:bidi w:val="0"/>
              <w:spacing w:before="0" w:after="283"/>
              <w:jc w:val="left"/>
              <w:rPr/>
            </w:pPr>
            <w:r>
              <w:rPr/>
              <w:t> </w:t>
            </w:r>
          </w:p>
        </w:tc>
        <w:tc>
          <w:tcPr>
            <w:tcW w:w="9554" w:type="dxa"/>
            <w:tcBorders/>
            <w:vAlign w:val="center"/>
          </w:tcPr>
          <w:p>
            <w:pPr>
              <w:pStyle w:val="TableContents"/>
              <w:bidi w:val="0"/>
              <w:spacing w:before="0" w:after="283"/>
              <w:jc w:val="both"/>
              <w:rPr>
                <w:sz w:val="20"/>
              </w:rPr>
            </w:pPr>
            <w:r>
              <w:rPr>
                <w:sz w:val="20"/>
              </w:rPr>
              <w:t>Applies to assets or liabilities for which there are quoted prices in active markets for identical assets or liabilities.</w:t>
            </w:r>
          </w:p>
        </w:tc>
      </w:tr>
      <w:tr>
        <w:trPr/>
        <w:tc>
          <w:tcPr>
            <w:tcW w:w="75"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5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both"/>
              <w:rPr>
                <w:sz w:val="20"/>
              </w:rPr>
            </w:pPr>
            <w:r>
              <w:rPr>
                <w:sz w:val="20"/>
              </w:rPr>
              <w:t>Level 2</w:t>
            </w:r>
          </w:p>
        </w:tc>
        <w:tc>
          <w:tcPr>
            <w:tcW w:w="60" w:type="dxa"/>
            <w:tcBorders/>
            <w:vAlign w:val="center"/>
          </w:tcPr>
          <w:p>
            <w:pPr>
              <w:pStyle w:val="TableContents"/>
              <w:bidi w:val="0"/>
              <w:spacing w:before="0" w:after="283"/>
              <w:jc w:val="left"/>
              <w:rPr/>
            </w:pPr>
            <w:r>
              <w:rPr/>
              <w:t> </w:t>
            </w:r>
          </w:p>
        </w:tc>
        <w:tc>
          <w:tcPr>
            <w:tcW w:w="9554" w:type="dxa"/>
            <w:tcBorders/>
            <w:vAlign w:val="center"/>
          </w:tcPr>
          <w:p>
            <w:pPr>
              <w:pStyle w:val="TableContents"/>
              <w:bidi w:val="0"/>
              <w:spacing w:before="0" w:after="283"/>
              <w:jc w:val="both"/>
              <w:rPr>
                <w:sz w:val="20"/>
              </w:rPr>
            </w:pPr>
            <w:r>
              <w:rPr>
                <w:sz w:val="20"/>
              </w:rPr>
              <w:t>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tc>
      </w:tr>
      <w:tr>
        <w:trPr/>
        <w:tc>
          <w:tcPr>
            <w:tcW w:w="75"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55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both"/>
              <w:rPr>
                <w:sz w:val="20"/>
              </w:rPr>
            </w:pPr>
            <w:r>
              <w:rPr>
                <w:sz w:val="20"/>
              </w:rPr>
              <w:t>Level 3</w:t>
            </w:r>
          </w:p>
        </w:tc>
        <w:tc>
          <w:tcPr>
            <w:tcW w:w="60" w:type="dxa"/>
            <w:tcBorders/>
            <w:vAlign w:val="center"/>
          </w:tcPr>
          <w:p>
            <w:pPr>
              <w:pStyle w:val="TableContents"/>
              <w:bidi w:val="0"/>
              <w:spacing w:before="0" w:after="283"/>
              <w:jc w:val="left"/>
              <w:rPr/>
            </w:pPr>
            <w:r>
              <w:rPr/>
              <w:t> </w:t>
            </w:r>
          </w:p>
        </w:tc>
        <w:tc>
          <w:tcPr>
            <w:tcW w:w="9554" w:type="dxa"/>
            <w:tcBorders/>
            <w:vAlign w:val="center"/>
          </w:tcPr>
          <w:p>
            <w:pPr>
              <w:pStyle w:val="TableContents"/>
              <w:bidi w:val="0"/>
              <w:spacing w:before="0" w:after="283"/>
              <w:jc w:val="both"/>
              <w:rPr>
                <w:sz w:val="20"/>
              </w:rPr>
            </w:pPr>
            <w:r>
              <w:rPr>
                <w:sz w:val="20"/>
              </w:rPr>
              <w:t>Applies to assets or liabilities for which there are unobservable inputs to the valuation methodology that are significant to the measurement of the fair value of the assets or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the Group’s financial instruments, including cash and cash equivalents, restricted cash, accounts receivable, insurance premium payables, other receivables, short-term loan, accounts payable and other payables, approximate their fair values due to the short-term nature of these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long-term receivables and payables approximate their fair value as the interest rates are comparable to the prevailing interest rates in the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Measured at fair value on a recurring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2026, information about inputs into the fair value measurements of the Group’s assets and liabilities that are measured at fair value on a recurring basis in periods subsequent to their initial recognition is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24"/>
        <w:gridCol w:w="60"/>
        <w:gridCol w:w="98"/>
        <w:gridCol w:w="1317"/>
        <w:gridCol w:w="60"/>
        <w:gridCol w:w="60"/>
        <w:gridCol w:w="100"/>
        <w:gridCol w:w="950"/>
        <w:gridCol w:w="63"/>
        <w:gridCol w:w="63"/>
        <w:gridCol w:w="113"/>
        <w:gridCol w:w="1062"/>
        <w:gridCol w:w="63"/>
        <w:gridCol w:w="63"/>
        <w:gridCol w:w="99"/>
        <w:gridCol w:w="1331"/>
        <w:gridCol w:w="79"/>
      </w:tblGrid>
      <w:tr>
        <w:trPr/>
        <w:tc>
          <w:tcPr>
            <w:tcW w:w="46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0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Fair Value Measurements</w:t>
              <w:br/>
              <w:t>at Reporting Date Using</w:t>
            </w:r>
          </w:p>
        </w:tc>
        <w:tc>
          <w:tcPr>
            <w:tcW w:w="79" w:type="dxa"/>
            <w:tcBorders/>
            <w:vAlign w:val="center"/>
          </w:tcPr>
          <w:p>
            <w:pPr>
              <w:pStyle w:val="TableContents"/>
              <w:bidi w:val="0"/>
              <w:spacing w:before="0" w:after="283"/>
              <w:jc w:val="left"/>
              <w:rPr/>
            </w:pPr>
            <w:r>
              <w:rPr/>
              <w:t> </w:t>
            </w:r>
          </w:p>
        </w:tc>
      </w:tr>
      <w:tr>
        <w:trPr/>
        <w:tc>
          <w:tcPr>
            <w:tcW w:w="4624" w:type="dxa"/>
            <w:tcBorders>
              <w:bottom w:val="single" w:sz="12" w:space="0" w:color="000000"/>
            </w:tcBorders>
            <w:tcMar>
              <w:bottom w:w="28" w:type="dxa"/>
            </w:tcMar>
            <w:vAlign w:val="center"/>
          </w:tcPr>
          <w:p>
            <w:pPr>
              <w:pStyle w:val="TableContents"/>
              <w:bidi w:val="0"/>
              <w:spacing w:before="0" w:after="283"/>
              <w:jc w:val="left"/>
              <w:rPr>
                <w:b/>
              </w:rPr>
            </w:pPr>
            <w:r>
              <w:rPr>
                <w:b/>
              </w:rPr>
              <w:t>Description</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Quoted</w:t>
              <w:br/>
              <w:t>Prices</w:t>
              <w:br/>
              <w:t>in Active</w:t>
              <w:br/>
              <w:t>Markets for</w:t>
              <w:br/>
              <w:t>Identical</w:t>
              <w:br/>
              <w:t>Assets</w:t>
              <w:br/>
              <w:t>(Level 1)</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Significant</w:t>
              <w:br/>
              <w:t>Other</w:t>
              <w:br/>
              <w:t>Observable</w:t>
              <w:br/>
              <w:t>Inputs</w:t>
              <w:br/>
              <w:t>(Level 2)</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Significant</w:t>
              <w:br/>
              <w:t>Unobservable</w:t>
              <w:br/>
              <w:t>Inputs</w:t>
              <w:br/>
              <w:t>(Level 3)</w:t>
            </w:r>
          </w:p>
        </w:tc>
        <w:tc>
          <w:tcPr>
            <w:tcW w:w="79" w:type="dxa"/>
            <w:tcBorders/>
            <w:vAlign w:val="center"/>
          </w:tcPr>
          <w:p>
            <w:pPr>
              <w:pStyle w:val="TableContents"/>
              <w:bidi w:val="0"/>
              <w:spacing w:before="0" w:after="283"/>
              <w:jc w:val="left"/>
              <w:rPr/>
            </w:pPr>
            <w:r>
              <w:rPr/>
              <w:t> </w:t>
            </w:r>
          </w:p>
        </w:tc>
      </w:tr>
      <w:tr>
        <w:trPr/>
        <w:tc>
          <w:tcPr>
            <w:tcW w:w="46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0" w:type="dxa"/>
            <w:gridSpan w:val="2"/>
            <w:tcBorders/>
            <w:vAlign w:val="center"/>
          </w:tcPr>
          <w:p>
            <w:pPr>
              <w:pStyle w:val="TableContents"/>
              <w:bidi w:val="0"/>
              <w:spacing w:before="0" w:after="283"/>
              <w:jc w:val="center"/>
              <w:rPr>
                <w:b/>
              </w:rPr>
            </w:pPr>
            <w:r>
              <w:rPr>
                <w:b/>
              </w:rPr>
              <w:t>RMB</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RMB</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RMB</w:t>
            </w:r>
          </w:p>
        </w:tc>
        <w:tc>
          <w:tcPr>
            <w:tcW w:w="79" w:type="dxa"/>
            <w:tcBorders/>
            <w:vAlign w:val="center"/>
          </w:tcPr>
          <w:p>
            <w:pPr>
              <w:pStyle w:val="TableContents"/>
              <w:bidi w:val="0"/>
              <w:spacing w:before="0" w:after="283"/>
              <w:ind w:left="0" w:right="0" w:hanging="180"/>
              <w:jc w:val="left"/>
              <w:rPr/>
            </w:pPr>
            <w:r>
              <w:rPr/>
              <w:t> </w:t>
            </w:r>
          </w:p>
        </w:tc>
      </w:tr>
      <w:tr>
        <w:trPr/>
        <w:tc>
          <w:tcPr>
            <w:tcW w:w="4624" w:type="dxa"/>
            <w:tcBorders/>
            <w:shd w:fill="CCEEFF" w:val="clear"/>
            <w:vAlign w:val="center"/>
          </w:tcPr>
          <w:p>
            <w:pPr>
              <w:pStyle w:val="TableContents"/>
              <w:bidi w:val="0"/>
              <w:spacing w:before="0" w:after="283"/>
              <w:jc w:val="left"/>
              <w:rPr/>
            </w:pPr>
            <w:r>
              <w:rPr/>
              <w:t>Short-term investments - debt security</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2,450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2,450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4624" w:type="dxa"/>
            <w:tcBorders/>
            <w:vAlign w:val="center"/>
          </w:tcPr>
          <w:p>
            <w:pPr>
              <w:pStyle w:val="TableContents"/>
              <w:bidi w:val="0"/>
              <w:spacing w:before="0" w:after="283"/>
              <w:jc w:val="left"/>
              <w:rPr/>
            </w:pPr>
            <w:r>
              <w:rPr/>
              <w:t>Investments – equity security recorded within other current assets and other non-current assets</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239,565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2,746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236,819</w:t>
            </w:r>
          </w:p>
        </w:tc>
        <w:tc>
          <w:tcPr>
            <w:tcW w:w="7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15"/>
        <w:gridCol w:w="60"/>
        <w:gridCol w:w="86"/>
        <w:gridCol w:w="979"/>
        <w:gridCol w:w="60"/>
        <w:gridCol w:w="60"/>
        <w:gridCol w:w="198"/>
        <w:gridCol w:w="865"/>
        <w:gridCol w:w="74"/>
        <w:gridCol w:w="74"/>
        <w:gridCol w:w="160"/>
        <w:gridCol w:w="1015"/>
        <w:gridCol w:w="74"/>
        <w:gridCol w:w="74"/>
        <w:gridCol w:w="115"/>
        <w:gridCol w:w="1315"/>
        <w:gridCol w:w="81"/>
      </w:tblGrid>
      <w:tr>
        <w:trPr/>
        <w:tc>
          <w:tcPr>
            <w:tcW w:w="49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6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Fair Value Measurements</w:t>
              <w:br/>
              <w:t>at Reporting Date Using</w:t>
            </w:r>
          </w:p>
        </w:tc>
        <w:tc>
          <w:tcPr>
            <w:tcW w:w="81" w:type="dxa"/>
            <w:tcBorders/>
            <w:vAlign w:val="center"/>
          </w:tcPr>
          <w:p>
            <w:pPr>
              <w:pStyle w:val="TableContents"/>
              <w:bidi w:val="0"/>
              <w:spacing w:before="0" w:after="283"/>
              <w:jc w:val="left"/>
              <w:rPr/>
            </w:pPr>
            <w:r>
              <w:rPr/>
              <w:t> </w:t>
            </w:r>
          </w:p>
        </w:tc>
      </w:tr>
      <w:tr>
        <w:trPr/>
        <w:tc>
          <w:tcPr>
            <w:tcW w:w="4915" w:type="dxa"/>
            <w:tcBorders>
              <w:bottom w:val="single" w:sz="12" w:space="0" w:color="000000"/>
            </w:tcBorders>
            <w:tcMar>
              <w:bottom w:w="28" w:type="dxa"/>
            </w:tcMar>
            <w:vAlign w:val="center"/>
          </w:tcPr>
          <w:p>
            <w:pPr>
              <w:pStyle w:val="TableContents"/>
              <w:bidi w:val="0"/>
              <w:spacing w:before="0" w:after="283"/>
              <w:jc w:val="left"/>
              <w:rPr>
                <w:b/>
              </w:rPr>
            </w:pPr>
            <w:r>
              <w:rPr>
                <w:b/>
              </w:rPr>
              <w:t>Description</w:t>
            </w:r>
          </w:p>
        </w:tc>
        <w:tc>
          <w:tcPr>
            <w:tcW w:w="60" w:type="dxa"/>
            <w:tcBorders/>
            <w:vAlign w:val="center"/>
          </w:tcPr>
          <w:p>
            <w:pPr>
              <w:pStyle w:val="TableContents"/>
              <w:bidi w:val="0"/>
              <w:spacing w:before="0" w:after="283"/>
              <w:jc w:val="left"/>
              <w:rPr/>
            </w:pPr>
            <w:r>
              <w:rPr/>
              <w:t> </w:t>
            </w:r>
          </w:p>
        </w:tc>
        <w:tc>
          <w:tcPr>
            <w:tcW w:w="10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Quoted</w:t>
              <w:br/>
              <w:t>Prices</w:t>
              <w:br/>
              <w:t>in Active</w:t>
              <w:br/>
              <w:t>Markets for</w:t>
              <w:br/>
              <w:t>Identical</w:t>
              <w:br/>
              <w:t>Assets</w:t>
              <w:br/>
              <w:t>(Level 1)</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Significant</w:t>
              <w:br/>
              <w:t>Other</w:t>
              <w:br/>
              <w:t>Observable</w:t>
              <w:br/>
              <w:t>Inputs</w:t>
              <w:br/>
              <w:t>(Level 2)</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4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Significant</w:t>
              <w:br/>
              <w:t>Unobservable</w:t>
              <w:br/>
              <w:t>Inputs</w:t>
              <w:br/>
              <w:t>(Level 3)</w:t>
            </w:r>
          </w:p>
        </w:tc>
        <w:tc>
          <w:tcPr>
            <w:tcW w:w="81" w:type="dxa"/>
            <w:tcBorders/>
            <w:vAlign w:val="center"/>
          </w:tcPr>
          <w:p>
            <w:pPr>
              <w:pStyle w:val="TableContents"/>
              <w:bidi w:val="0"/>
              <w:spacing w:before="0" w:after="283"/>
              <w:jc w:val="left"/>
              <w:rPr/>
            </w:pPr>
            <w:r>
              <w:rPr/>
              <w:t> </w:t>
            </w:r>
          </w:p>
        </w:tc>
      </w:tr>
      <w:tr>
        <w:trPr/>
        <w:tc>
          <w:tcPr>
            <w:tcW w:w="49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5"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3" w:type="dxa"/>
            <w:gridSpan w:val="2"/>
            <w:tcBorders/>
            <w:vAlign w:val="center"/>
          </w:tcPr>
          <w:p>
            <w:pPr>
              <w:pStyle w:val="TableContents"/>
              <w:bidi w:val="0"/>
              <w:spacing w:before="0" w:after="283"/>
              <w:jc w:val="center"/>
              <w:rPr>
                <w:b/>
              </w:rPr>
            </w:pPr>
            <w:r>
              <w:rPr>
                <w:b/>
              </w:rPr>
              <w:t>RMB</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RMB</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RMB</w:t>
            </w:r>
          </w:p>
        </w:tc>
        <w:tc>
          <w:tcPr>
            <w:tcW w:w="81" w:type="dxa"/>
            <w:tcBorders/>
            <w:vAlign w:val="center"/>
          </w:tcPr>
          <w:p>
            <w:pPr>
              <w:pStyle w:val="TableContents"/>
              <w:bidi w:val="0"/>
              <w:spacing w:before="0" w:after="283"/>
              <w:ind w:left="0" w:right="0" w:hanging="180"/>
              <w:jc w:val="left"/>
              <w:rPr/>
            </w:pPr>
            <w:r>
              <w:rPr/>
              <w:t> </w:t>
            </w:r>
          </w:p>
        </w:tc>
      </w:tr>
      <w:tr>
        <w:trPr/>
        <w:tc>
          <w:tcPr>
            <w:tcW w:w="4915" w:type="dxa"/>
            <w:tcBorders/>
            <w:shd w:fill="CCEEFF" w:val="clear"/>
            <w:vAlign w:val="center"/>
          </w:tcPr>
          <w:p>
            <w:pPr>
              <w:pStyle w:val="TableContents"/>
              <w:bidi w:val="0"/>
              <w:spacing w:before="0" w:after="283"/>
              <w:jc w:val="left"/>
              <w:rPr/>
            </w:pPr>
            <w:r>
              <w:rPr/>
              <w:t>Short-term investments - debt security</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346</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915" w:type="dxa"/>
            <w:tcBorders/>
            <w:vAlign w:val="center"/>
          </w:tcPr>
          <w:p>
            <w:pPr>
              <w:pStyle w:val="TableContents"/>
              <w:bidi w:val="0"/>
              <w:spacing w:before="0" w:after="283"/>
              <w:jc w:val="left"/>
              <w:rPr/>
            </w:pPr>
            <w:r>
              <w:rPr/>
              <w:t>Investments – equity security recorded within other current assets and other non-current assets</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41,247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right"/>
              <w:rPr/>
            </w:pPr>
            <w:r>
              <w:rPr/>
              <w:t>19</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41,228</w:t>
            </w:r>
          </w:p>
        </w:tc>
        <w:tc>
          <w:tcPr>
            <w:tcW w:w="8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majority of debt security consists of investments in bank financial products, trust products and asset management plans that normally pay a prospective fixed rate of return. These investments are recorded at fair values on a recurring basis. The Group measured these investments at fair values and the unrealized gains or losses from the changes in fair values are included in accumulated other comprehensive loss, at the balance sheet date. It is classified as Level 2 of the fair value hierarchy since fair value measurement at the reporting date is benchmarked against fair value of comparable investments. The Group identified credit-related impairment losses of nil and nil on trust products during the six months ended June 30, 2025 and 2026, reflecting reduced liquidity and lower recovery expectations for the underlying assets.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measures its equity investments with readily determinable fair value at its quoted price in active markets. There were no transfers into or out of Level 1 and Level 2 during the six months ended June 30, 2025 and 2026.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Measured at fair value on a non-recurring basis</w:t>
      </w:r>
      <w:r>
        <w:rPr>
          <w:rFonts w:ascii="Times New Roman;Times;Serif" w:hAnsi="Times New Roman;Times;Serif"/>
          <w:b w:val="false"/>
          <w:i w:val="false"/>
          <w:caps w:val="false"/>
          <w:smallCaps w:val="false"/>
          <w:sz w:val="20"/>
        </w:rPr>
        <w:t> </w:t>
      </w:r>
    </w:p>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measures certain assets, including equity securities without readily determinable fair values, equity method investments and intangible assets, at fair value on a nonrecurring basis when they are deemed to be impaired. The fair values of these investments and intangible assets are determined based on valuation techniques using the best information available, and may include management judgments, future performance projections, etc. An impairment charge to these investments is recorded when the cost of the investment exceeds its fair value and for equity method investments, this condition is determined to be other-than-temporary. Impairment charge to the intangible assets is recorded when their carrying amounts may not be recoverable.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75"/>
        <w:gridCol w:w="245"/>
        <w:gridCol w:w="165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i/>
                <w:sz w:val="20"/>
              </w:rPr>
            </w:pPr>
            <w:r>
              <w:rPr>
                <w:b/>
                <w:i/>
                <w:sz w:val="20"/>
              </w:rPr>
              <w:t>(t )</w:t>
            </w:r>
          </w:p>
        </w:tc>
        <w:tc>
          <w:tcPr>
            <w:tcW w:w="1655" w:type="dxa"/>
            <w:tcBorders/>
            <w:vAlign w:val="center"/>
          </w:tcPr>
          <w:p>
            <w:pPr>
              <w:pStyle w:val="TableContents"/>
              <w:bidi w:val="0"/>
              <w:spacing w:before="0" w:after="283"/>
              <w:jc w:val="both"/>
              <w:rPr>
                <w:b/>
                <w:i/>
                <w:sz w:val="20"/>
              </w:rPr>
            </w:pPr>
            <w:r>
              <w:rPr>
                <w:b/>
                <w:i/>
                <w:sz w:val="20"/>
              </w:rPr>
              <w:t>Foreign Currencies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Company is the United States dollar (“USD”). Assets and liabilities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income or loss in the unaudited consolidated statements of (loss) income and comprehensive (loss) income. The Group has chosen the Renminbi (“RMB”) as their reporting currency.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most of the Company’s subsidiaries is RMB. Transactions in other currencies are recorded in RMB at the rates of exchange prevailing when the transactions occur. Monetary assets and liabilities denominated in other currencies are translated into RMB at rates of exchange in effect at the balance sheet dates. Exchange gains and losses are recorded in the unaudited consolidated statements of (loss) income and comprehensive (loss) income.</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bl>
      <w:tblPr>
        <w:tblW w:w="2260" w:type="dxa"/>
        <w:jc w:val="left"/>
        <w:tblInd w:w="0" w:type="dxa"/>
        <w:tblLayout w:type="fixed"/>
        <w:tblCellMar>
          <w:top w:w="0" w:type="dxa"/>
          <w:left w:w="0" w:type="dxa"/>
          <w:bottom w:w="0" w:type="dxa"/>
          <w:right w:w="0" w:type="dxa"/>
        </w:tblCellMar>
      </w:tblPr>
      <w:tblGrid>
        <w:gridCol w:w="75"/>
        <w:gridCol w:w="245"/>
        <w:gridCol w:w="19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i/>
                <w:sz w:val="20"/>
              </w:rPr>
            </w:pPr>
            <w:r>
              <w:rPr>
                <w:b/>
                <w:i/>
                <w:sz w:val="20"/>
              </w:rPr>
              <w:t>(</w:t>
            </w:r>
            <w:r>
              <w:rPr>
                <w:rFonts w:ascii="Times New Roman;Times;Serif" w:hAnsi="Times New Roman;Times;Serif"/>
                <w:b/>
                <w:i/>
                <w:sz w:val="20"/>
              </w:rPr>
              <w:t>u</w:t>
            </w:r>
            <w:r>
              <w:rPr>
                <w:b/>
                <w:i/>
                <w:sz w:val="20"/>
              </w:rPr>
              <w:t>)</w:t>
            </w:r>
          </w:p>
        </w:tc>
        <w:tc>
          <w:tcPr>
            <w:tcW w:w="1940" w:type="dxa"/>
            <w:tcBorders/>
            <w:vAlign w:val="center"/>
          </w:tcPr>
          <w:p>
            <w:pPr>
              <w:pStyle w:val="TableContents"/>
              <w:bidi w:val="0"/>
              <w:spacing w:before="0" w:after="283"/>
              <w:jc w:val="both"/>
              <w:rPr>
                <w:b/>
                <w:i/>
                <w:sz w:val="20"/>
              </w:rPr>
            </w:pPr>
            <w:r>
              <w:rPr>
                <w:b/>
                <w:i/>
                <w:sz w:val="20"/>
              </w:rPr>
              <w:t>Foreign Currency Risk</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RMB is not a freely convertible currency. The State Administration for Foreign Exchange, under the authority of the People’s Bank of China, controls the conversion of RMB into foreign currencies. The value of RMB is subject to changes in central government policies and international economic and political developments that affect supply and demand in the China Foreign Exchange Trading System market of cash and cash equivalents and restricted cash. The Group had aggregate amounts of RMB44,395 and RMB53,137 of cash and cash equivalents and restricted cash denominated in RMB as of December 31, 2025 and June 30, 2026, respectively. </w:t>
      </w:r>
    </w:p>
    <w:p>
      <w:pPr>
        <w:pStyle w:val="TextBody"/>
        <w:bidi w:val="0"/>
        <w:spacing w:before="0" w:after="0"/>
        <w:ind w:left="0" w:right="0" w:firstLine="36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
        <w:gridCol w:w="230"/>
        <w:gridCol w:w="18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b/>
                <w:i/>
                <w:sz w:val="20"/>
              </w:rPr>
            </w:pPr>
            <w:r>
              <w:rPr>
                <w:b/>
                <w:i/>
                <w:sz w:val="20"/>
              </w:rPr>
              <w:t>(</w:t>
            </w:r>
            <w:r>
              <w:rPr>
                <w:rFonts w:ascii="Times New Roman;Times;Serif" w:hAnsi="Times New Roman;Times;Serif"/>
                <w:b/>
                <w:i/>
                <w:sz w:val="20"/>
              </w:rPr>
              <w:t>v</w:t>
            </w:r>
            <w:r>
              <w:rPr>
                <w:b/>
                <w:i/>
                <w:sz w:val="20"/>
              </w:rPr>
              <w:t>)</w:t>
            </w:r>
          </w:p>
        </w:tc>
        <w:tc>
          <w:tcPr>
            <w:tcW w:w="1805" w:type="dxa"/>
            <w:tcBorders/>
            <w:vAlign w:val="center"/>
          </w:tcPr>
          <w:p>
            <w:pPr>
              <w:pStyle w:val="TableContents"/>
              <w:bidi w:val="0"/>
              <w:spacing w:before="0" w:after="283"/>
              <w:jc w:val="both"/>
              <w:rPr>
                <w:b/>
                <w:i/>
                <w:sz w:val="20"/>
              </w:rPr>
            </w:pPr>
            <w:r>
              <w:rPr>
                <w:b/>
                <w:i/>
                <w:sz w:val="20"/>
              </w:rPr>
              <w:t>Translation into USD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consolidated financial statements of the Group are stated in RMB. Translations of amounts from RMB into USD are solely for the convenience of the readers outside of China and were calculated at the rate of US$1.00 = RMB 6.7851, representing the noon buying rate in the City of New York for cable transfers of RMB on June 30, 2026, the last business day in the first half of fiscal year 2026, as set forth in H.10 statistical release of the Federal Reserve Bank of New York. The translation is not intended to imply that the RMB amounts could have been, or could be, converted, realized or settled into USD at such rate. </w:t>
      </w:r>
    </w:p>
    <w:p>
      <w:pPr>
        <w:pStyle w:val="TextBody"/>
        <w:bidi w:val="0"/>
        <w:spacing w:before="0" w:after="0"/>
        <w:ind w:left="1440" w:right="0" w:hanging="72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75"/>
        <w:gridCol w:w="275"/>
        <w:gridCol w:w="162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i/>
                <w:sz w:val="20"/>
              </w:rPr>
            </w:pPr>
            <w:r>
              <w:rPr>
                <w:b/>
                <w:i/>
                <w:sz w:val="20"/>
              </w:rPr>
              <w:t>(w)</w:t>
            </w:r>
          </w:p>
        </w:tc>
        <w:tc>
          <w:tcPr>
            <w:tcW w:w="1625" w:type="dxa"/>
            <w:tcBorders/>
            <w:vAlign w:val="center"/>
          </w:tcPr>
          <w:p>
            <w:pPr>
              <w:pStyle w:val="TableContents"/>
              <w:bidi w:val="0"/>
              <w:spacing w:before="0" w:after="283"/>
              <w:jc w:val="both"/>
              <w:rPr>
                <w:b/>
                <w:i/>
                <w:sz w:val="20"/>
              </w:rPr>
            </w:pPr>
            <w:r>
              <w:rPr>
                <w:b/>
                <w:i/>
                <w:sz w:val="20"/>
              </w:rPr>
              <w:t>Segment Reporting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enterprise for which separate financial information is available and evaluated regularly by the Group’s chief operating decision maker in deciding how to allocate resources and in assessing performance. In accordance with ASC 280, Segment Reporting, operating segments are defined as components of an enterprise about which separate financial information is available that is evaluated regularly by the chief operating decision maker (“CODM”), in deciding how to allocate resources and in assessing performance. The Group uses the “management approach” in determining reportable operating segments. The management approach considers the internal organization and reporting used by the Group’s chief operating decision maker for making operating decisions and assessing performance as the source for determining the Group’s reportable segments. The Group’s CODM has been identified as the chief executive officer (the “CEO”), who reviews consolidated results when making decisions about allocating resources and assessing performance of the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Group divested its entire equity interest in Guangdong Meidiya Investment Co., Ltd. and its subsidiaries, which comprised the Group’s claims-adjusting segment. Since completion of the disposal, the Group has ceased providing claims-adjusting services (see Note 4 for details). In the first half of 2026, the Group expanded into the distribution and sale of health and wellness products following the acquisition of a premium inventory of dark tea products on January 9, 2026. As of June 30, 2026, the Group operated two segments: (i) the insurance agency segment, which mainly consists of providing agency services for a wide range of life and non-life insurance products to individual clients; (ii) health and wellness segment which primarily consists of sales of premium tea products.</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revenues of the Group are derived in the PRC and all long-lived assets are located in the PRC.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2026, the Group expanded into the distribution and sale of health and wellness products after the acquisition of a premium inventory of dark tea products on January 9, 2026.</w:t>
      </w:r>
    </w:p>
    <w:p>
      <w:pPr>
        <w:pStyle w:val="TextBody"/>
        <w:bidi w:val="0"/>
        <w:spacing w:before="0" w:after="0"/>
        <w:ind w:left="0" w:right="0" w:hanging="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245"/>
        <w:gridCol w:w="30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i/>
                <w:sz w:val="20"/>
              </w:rPr>
            </w:pPr>
            <w:r>
              <w:rPr>
                <w:b/>
                <w:i/>
                <w:sz w:val="20"/>
              </w:rPr>
              <w:t>(x)</w:t>
            </w:r>
          </w:p>
        </w:tc>
        <w:tc>
          <w:tcPr>
            <w:tcW w:w="3020" w:type="dxa"/>
            <w:tcBorders/>
            <w:vAlign w:val="center"/>
          </w:tcPr>
          <w:p>
            <w:pPr>
              <w:pStyle w:val="TableContents"/>
              <w:bidi w:val="0"/>
              <w:spacing w:before="0" w:after="283"/>
              <w:jc w:val="both"/>
              <w:rPr>
                <w:b/>
                <w:i/>
                <w:sz w:val="20"/>
              </w:rPr>
            </w:pPr>
            <w:r>
              <w:rPr>
                <w:b/>
                <w:i/>
                <w:sz w:val="20"/>
              </w:rPr>
              <w:t>Earnings per Share (“EPS”) or ADS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EPS is calculated by dividing the net income available to common shareholders by the weighted average number of ordinary shares outstanding during the year. Diluted EPS is calculated by using the weighted average number of ordinary shares outstanding adjusted to include the potentially dilutive effect of outstanding share-based awards, unless their inclusion in the calculation is anti-dilutive.</w:t>
      </w:r>
    </w:p>
    <w:p>
      <w:pPr>
        <w:pStyle w:val="TextBody"/>
        <w:bidi w:val="0"/>
        <w:spacing w:before="0" w:after="0"/>
        <w:ind w:left="1440" w:right="0" w:hanging="720"/>
        <w:jc w:val="both"/>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75"/>
        <w:gridCol w:w="230"/>
        <w:gridCol w:w="14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b/>
                <w:i/>
                <w:sz w:val="20"/>
              </w:rPr>
            </w:pPr>
            <w:r>
              <w:rPr>
                <w:b/>
                <w:i/>
                <w:sz w:val="20"/>
              </w:rPr>
              <w:t>(y)</w:t>
            </w:r>
          </w:p>
        </w:tc>
        <w:tc>
          <w:tcPr>
            <w:tcW w:w="1490" w:type="dxa"/>
            <w:tcBorders/>
            <w:vAlign w:val="center"/>
          </w:tcPr>
          <w:p>
            <w:pPr>
              <w:pStyle w:val="TableContents"/>
              <w:bidi w:val="0"/>
              <w:spacing w:before="0" w:after="283"/>
              <w:jc w:val="both"/>
              <w:rPr>
                <w:b/>
                <w:i/>
                <w:sz w:val="20"/>
              </w:rPr>
            </w:pPr>
            <w:r>
              <w:rPr>
                <w:b/>
                <w:i/>
                <w:sz w:val="20"/>
              </w:rPr>
              <w:t>Advertising Costs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Advertising costs are expensed as incurred. Advertising costs amounted to RMB1,991 and RMB834 for the six months ended June 30, 2025 and 2026, respectively. </w:t>
      </w:r>
    </w:p>
    <w:p>
      <w:pPr>
        <w:pStyle w:val="TextBody"/>
        <w:bidi w:val="0"/>
        <w:spacing w:before="0" w:after="0"/>
        <w:ind w:left="0" w:right="0" w:firstLine="360"/>
        <w:jc w:val="both"/>
        <w:rPr>
          <w:caps w:val="false"/>
          <w:smallCaps w:val="false"/>
        </w:rPr>
      </w:pPr>
      <w:r>
        <w:rPr>
          <w:caps w:val="false"/>
          <w:smallCaps w:val="false"/>
        </w:rPr>
        <w:t> </w:t>
      </w:r>
    </w:p>
    <w:tbl>
      <w:tblPr>
        <w:tblW w:w="925" w:type="dxa"/>
        <w:jc w:val="left"/>
        <w:tblInd w:w="0" w:type="dxa"/>
        <w:tblLayout w:type="fixed"/>
        <w:tblCellMar>
          <w:top w:w="0" w:type="dxa"/>
          <w:left w:w="0" w:type="dxa"/>
          <w:bottom w:w="0" w:type="dxa"/>
          <w:right w:w="0" w:type="dxa"/>
        </w:tblCellMar>
      </w:tblPr>
      <w:tblGrid>
        <w:gridCol w:w="105"/>
        <w:gridCol w:w="245"/>
        <w:gridCol w:w="575"/>
      </w:tblGrid>
      <w:tr>
        <w:trPr/>
        <w:tc>
          <w:tcPr>
            <w:tcW w:w="10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i/>
                <w:sz w:val="20"/>
              </w:rPr>
            </w:pPr>
            <w:r>
              <w:rPr>
                <w:b/>
                <w:i/>
                <w:sz w:val="20"/>
              </w:rPr>
              <w:t>(</w:t>
            </w:r>
            <w:r>
              <w:rPr>
                <w:rFonts w:ascii="Times New Roman;Times;Serif" w:hAnsi="Times New Roman;Times;Serif"/>
                <w:b/>
                <w:i/>
                <w:sz w:val="20"/>
              </w:rPr>
              <w:t>z</w:t>
            </w:r>
            <w:r>
              <w:rPr>
                <w:b/>
                <w:i/>
                <w:sz w:val="20"/>
              </w:rPr>
              <w:t>)</w:t>
            </w:r>
          </w:p>
        </w:tc>
        <w:tc>
          <w:tcPr>
            <w:tcW w:w="575" w:type="dxa"/>
            <w:tcBorders/>
            <w:vAlign w:val="center"/>
          </w:tcPr>
          <w:p>
            <w:pPr>
              <w:pStyle w:val="TableContents"/>
              <w:bidi w:val="0"/>
              <w:spacing w:before="0" w:after="283"/>
              <w:jc w:val="both"/>
              <w:rPr>
                <w:b/>
                <w:i/>
                <w:sz w:val="20"/>
              </w:rPr>
            </w:pPr>
            <w:r>
              <w:rPr>
                <w:b/>
                <w:i/>
                <w:sz w:val="20"/>
              </w:rPr>
              <w:t>Lease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leases office space, vehicles and certain equipment under operating leases for terms ranging from short term (under 12 months) to 10 years. The Group does not have options to extend or terminate leases, as the renewal or termination of relevant lease is on negotiation basis. As a lessee, the Group does not have any finance leases and none of the leases contain material residual value guarantees or material restrictive covenants. The Group’s office space leases typically have initial lease terms of 2 to 10 years, and vehicles and equipment leases typically have an initial term of 12 months or less. The Group’s office space leases include fixed rental payments. The lease payments for the Group’s office space leases do not consist of variable lease payments that depend on an index or a rate.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determines whether a contract contains a lease at contract inception. A contract contains a lease if there is an identified asset and the Group has the right to control the use of the identified asset. At the commencement of each lease, management determines its classification as an operating or finance lease. For leases that qualify as operating leases, the Group recognizes a right-of-use (“ROU”) asset and a lease liability based on the present value of the lease payments over the lease term in the consolidated statements of balance sheet at commencement date. As all of the leases do not have implicit rates available, the Group uses incremental borrowing rates based on the information available at lease commencement date in determining the present value of future payments. The incremental borrowing rates are estimated to approximate the interest rate on a collateralized basis with similar terms and payments, and in economic environments where the leased assets are located.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ROU asset is measured at the amount of the lease liabilities with adjustments, if applicable, for lease prepayments made prior to or at lease commencement, initial direct costs incurred and lease incentives. For office space leases, the Group identifies the lease and non-lease components (e.g., common-area maintenance costs) and accounts for non-lease components separately from lease component. The Group’s office space lease contracts have only one separate lease component and have no non-components (e.g., property tax or insurance). Most of the office space lease contracts have no non-lease components. For the office space lease contracts include non-lease components, the fixed lease payment is typically itemized in the office space lease contract for separate lease component and non-lease components. Therefore, the Group does not allocate the consideration in the contract to the separate lease component and the non-lease components.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Lease expense for minimum lease payments is recognized on a straight-line basis over the lease term. The Group has made an accounting policy election to exempt leases with an initial term of 12 months or less without a purchase option that is likely to be exercised from being recognized on the balance sheet. Payments related to those leases continue to be recognized in the consolidated statement of income and comprehensive income(loss) on a straight-line basis over the lease term.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Group does not have any related-party leases or sublease transactions.  </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75"/>
        <w:gridCol w:w="350"/>
        <w:gridCol w:w="324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b/>
                <w:i/>
                <w:sz w:val="20"/>
              </w:rPr>
            </w:pPr>
            <w:r>
              <w:rPr>
                <w:b/>
                <w:i/>
                <w:sz w:val="20"/>
              </w:rPr>
              <w:t>(</w:t>
            </w:r>
            <w:r>
              <w:rPr>
                <w:rFonts w:ascii="Times New Roman;Times;Serif" w:hAnsi="Times New Roman;Times;Serif"/>
                <w:b/>
                <w:i/>
                <w:sz w:val="20"/>
              </w:rPr>
              <w:t>aa</w:t>
            </w:r>
            <w:r>
              <w:rPr>
                <w:b/>
                <w:i/>
                <w:sz w:val="20"/>
              </w:rPr>
              <w:t>)</w:t>
            </w:r>
          </w:p>
        </w:tc>
        <w:tc>
          <w:tcPr>
            <w:tcW w:w="3245" w:type="dxa"/>
            <w:tcBorders/>
            <w:vAlign w:val="center"/>
          </w:tcPr>
          <w:p>
            <w:pPr>
              <w:pStyle w:val="TableContents"/>
              <w:bidi w:val="0"/>
              <w:spacing w:before="0" w:after="283"/>
              <w:jc w:val="both"/>
              <w:rPr>
                <w:b/>
                <w:i/>
                <w:sz w:val="20"/>
              </w:rPr>
            </w:pPr>
            <w:r>
              <w:rPr>
                <w:b/>
                <w:i/>
                <w:sz w:val="20"/>
              </w:rPr>
              <w:t>Accumulated other comprehensive loss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presents comprehensive loss in the unaudited consolidated statements of (loss) income and comprehensive (loss) income with net income in a continuous statement.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 mainly represents foreign currency translation adjustments and changes in fair value of short term investments for the period. </w:t>
      </w:r>
    </w:p>
    <w:p>
      <w:pPr>
        <w:pStyle w:val="TextBody"/>
        <w:bidi w:val="0"/>
        <w:spacing w:before="0" w:after="0"/>
        <w:ind w:left="0" w:right="0" w:firstLine="360"/>
        <w:jc w:val="both"/>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105"/>
        <w:gridCol w:w="380"/>
        <w:gridCol w:w="1670"/>
      </w:tblGrid>
      <w:tr>
        <w:trPr/>
        <w:tc>
          <w:tcPr>
            <w:tcW w:w="10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b/>
                <w:i/>
                <w:sz w:val="20"/>
              </w:rPr>
            </w:pPr>
            <w:r>
              <w:rPr>
                <w:b/>
                <w:i/>
                <w:sz w:val="20"/>
              </w:rPr>
              <w:t>(ab)</w:t>
            </w:r>
          </w:p>
        </w:tc>
        <w:tc>
          <w:tcPr>
            <w:tcW w:w="1670" w:type="dxa"/>
            <w:tcBorders/>
            <w:vAlign w:val="center"/>
          </w:tcPr>
          <w:p>
            <w:pPr>
              <w:pStyle w:val="TableContents"/>
              <w:bidi w:val="0"/>
              <w:spacing w:before="0" w:after="283"/>
              <w:jc w:val="both"/>
              <w:rPr>
                <w:b/>
                <w:i/>
                <w:sz w:val="20"/>
              </w:rPr>
            </w:pPr>
            <w:r>
              <w:rPr>
                <w:b/>
                <w:i/>
                <w:sz w:val="20"/>
              </w:rPr>
              <w:t>Government grants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Government grants primarily consist of financial subsidies received from provincial and local governments for operating a business in their jurisdictions and compliance with specific policies promoted by the local governments. The Group records such government subsidies as other income or reduction of expenses or cost of revenues when it has fulfilled all of its obligation related to the subsidy. The Group recognized RMB484 and RMB125 in the six months ended June 30, 2025 and 2026, respectively. </w:t>
      </w:r>
    </w:p>
    <w:p>
      <w:pPr>
        <w:pStyle w:val="TextBody"/>
        <w:bidi w:val="0"/>
        <w:spacing w:before="0" w:after="0"/>
        <w:ind w:left="0" w:right="0" w:hanging="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105"/>
        <w:gridCol w:w="365"/>
        <w:gridCol w:w="3920"/>
      </w:tblGrid>
      <w:tr>
        <w:trPr/>
        <w:tc>
          <w:tcPr>
            <w:tcW w:w="1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b/>
                <w:i/>
                <w:sz w:val="20"/>
              </w:rPr>
            </w:pPr>
            <w:r>
              <w:rPr>
                <w:b/>
                <w:i/>
                <w:sz w:val="20"/>
              </w:rPr>
              <w:t>(ac)</w:t>
            </w:r>
          </w:p>
        </w:tc>
        <w:tc>
          <w:tcPr>
            <w:tcW w:w="3920" w:type="dxa"/>
            <w:tcBorders/>
            <w:vAlign w:val="center"/>
          </w:tcPr>
          <w:p>
            <w:pPr>
              <w:pStyle w:val="TableContents"/>
              <w:bidi w:val="0"/>
              <w:spacing w:before="0" w:after="283"/>
              <w:jc w:val="both"/>
              <w:rPr>
                <w:b/>
                <w:i/>
                <w:sz w:val="20"/>
              </w:rPr>
            </w:pPr>
            <w:r>
              <w:rPr>
                <w:b/>
                <w:i/>
                <w:sz w:val="20"/>
              </w:rPr>
              <w:t>Recently adopted accounting pronouncements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 Improvements to Income Tax Disclosures, which provides guidance on the disaggregation information about a reporting entity’s effective tax rate reconciliation as well as additional information on income taxes paid. The guidance is effective for annual periods beginning after December 15, 2024 on a prospective basis. Early adoption is permitted. The Group has adopted ASU 2023-09 in 2025 retrospectively and updated the income tax disclosure in Note 17.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FASB issued ASU 2024-01, “Compensation-Stock Compensation (Topic 718): Scope Application of Profits Interest and similar Awards”. For public business entities, the amendments in this Update are effective for annual periods beginning after December 15, 2024, and interim periods within those annual periods. For all other entities, the amendments are effective for annual periods beginning after December 15, 2025, and interim periods within those annual periods. Early adoption is permitted for both interim and annual financial statements that have not yet been issued or made available for issuance. The Group has adopted ASU 2024-01 in 2025 with no material impact on the consolidated financial statements.</w:t>
      </w:r>
    </w:p>
    <w:p>
      <w:pPr>
        <w:pStyle w:val="TextBody"/>
        <w:bidi w:val="0"/>
        <w:spacing w:before="0" w:after="0"/>
        <w:ind w:left="0" w:right="0" w:firstLine="360"/>
        <w:jc w:val="both"/>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105"/>
        <w:gridCol w:w="380"/>
        <w:gridCol w:w="5075"/>
      </w:tblGrid>
      <w:tr>
        <w:trPr/>
        <w:tc>
          <w:tcPr>
            <w:tcW w:w="10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b/>
                <w:i/>
                <w:sz w:val="20"/>
              </w:rPr>
            </w:pPr>
            <w:r>
              <w:rPr>
                <w:b/>
                <w:i/>
                <w:sz w:val="20"/>
              </w:rPr>
              <w:t>(ad)</w:t>
            </w:r>
          </w:p>
        </w:tc>
        <w:tc>
          <w:tcPr>
            <w:tcW w:w="5075" w:type="dxa"/>
            <w:tcBorders/>
            <w:vAlign w:val="center"/>
          </w:tcPr>
          <w:p>
            <w:pPr>
              <w:pStyle w:val="TableContents"/>
              <w:bidi w:val="0"/>
              <w:spacing w:before="0" w:after="283"/>
              <w:jc w:val="both"/>
              <w:rPr>
                <w:b/>
                <w:i/>
                <w:sz w:val="20"/>
              </w:rPr>
            </w:pPr>
            <w:r>
              <w:rPr>
                <w:b/>
                <w:i/>
                <w:sz w:val="20"/>
              </w:rPr>
              <w:t>Recently issued accounting pronouncements not yet adopted</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FASB issued ASU 2025-02, Liabilities (Topic 405): Amendments to SEC Paragraphs Pursuant to SEC Staff Accounting Bulletin No. 122 (“ASU 2025-02”), amends the Accounting Standards Codification to remove the text of SEC Staff Accounting Bulletin (“SAB”) 121, Accounting for Obligations to Safeguard Crypto-Assets an Entity Holds for Its Platform Users, as it has been rescinded by the issuance of SAB 122. ASU 2025-02 is effective immediately and is not expected to have an impact on the Group’s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2025-07, Derivatives and Hedging (“Topic 815”) and Revenue from Contracts with Customers (“Topic 606”): Derivatives Scope Refinements and Scope Clarification for Share-Based Noncash Consideration from a Customer in a Revenue Contract (“ASU 2025-07”). ASU 2025-07, expands an existing scope exception under Topic 815 to exclude non-exchange-traded contracts where the underlying is based on the operations or activities specific to one of the contract parties. The Group is currently evaluating the impact of this ASU on its financial statements.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FASB issued ASU 2025-08, Financial Instruments — Credit Losses (“Topic 326”): Purchased Loans (“ASU 2025-08”). The amendments expand the population of acquired loans subject to the gross-up approach, treating non-credit-deteriorated loans (excluding credit cards) as “seasoned” if purchased at least 90 days after origination or acquired in a business combination. ASU 2025-08 is effective for annual reporting periods beginning after December 15, 2026 and interim reporting periods within those annual reporting periods. Early adoption is permitted. The Group is currently evaluating the impact that adoption of this ASU will have on its interim financial statement disclosures.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which clarifies the scope and disclosure requirements for interim financial reporting under ASC 270. The amendments introduce a principle requiring disclosure of events and transactions occurring after the end of the most recent annual reporting period that have a material impact on the entity and consolidate certain interim disclosure requirements. The amendments are effective for interim reporting periods within annual reporting periods beginning after December 15, 2027. Early adoption is permitted. The Group is currently evaluating the impact that adoption of this ASU will have on its interim financial statement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Acquisitions and disposals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Acquisitions in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9, 2026, the Group acquired 100% of the equity interest in Nova Lumina Limited (“Nova”), a company holding a premium inventory of dark tea products. The total consideration for the acquisition consisted of: (i) an aggregate of 5,128,942 Class A ordinary shares of the Company at a purchase price of US$20 per share and (ii) a cash payment of US$22,000. The total consideration was equivalent to the fair value of the acquired inventory of dark tea products as of the acquisition date. The acquisition was accounted for as an asset acquisition, as Nova did not meet the definition of a business under ASC 805. Accordingly, no goodwill was recognized, and the consideration was allocated to entirely to the inventory acquired.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Acquisitions in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Group, through its subsidiary, acquired 100% equity interest in Qilinfu Capital (Shenzhen) Co., Ltd., a professional capital operation enterprise engaged in capital investment, asset management and related financial consulting services in Shenzhen, at a consideration of RMB7,800, which is equivalent to the net assets of the target company as of the acquisition date.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subsidiaries in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3"/>
        <w:gridCol w:w="9897"/>
      </w:tblGrid>
      <w:tr>
        <w:trPr/>
        <w:tc>
          <w:tcPr>
            <w:tcW w:w="10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i/>
                <w:sz w:val="20"/>
              </w:rPr>
            </w:pPr>
            <w:r>
              <w:rPr>
                <w:i/>
                <w:sz w:val="20"/>
              </w:rPr>
              <w:t>1)</w:t>
            </w:r>
          </w:p>
        </w:tc>
        <w:tc>
          <w:tcPr>
            <w:tcW w:w="9897" w:type="dxa"/>
            <w:tcBorders/>
            <w:vAlign w:val="center"/>
          </w:tcPr>
          <w:p>
            <w:pPr>
              <w:pStyle w:val="TableContents"/>
              <w:bidi w:val="0"/>
              <w:spacing w:before="0" w:after="283"/>
              <w:jc w:val="both"/>
              <w:rPr/>
            </w:pPr>
            <w:r>
              <w:rPr>
                <w:i/>
                <w:sz w:val="20"/>
              </w:rPr>
              <w:t>Disposal of Fanhua Blueplus Health Management Co., Ltd. (“Blueplus”) and Shenzhen Dianlian Information Technology Co., Ltd. (“Dianlian”</w:t>
            </w:r>
            <w:r>
              <w:rPr>
                <w:rFonts w:eastAsia="Times New Roman;Times;Serif"/>
                <w:i/>
                <w:sz w:val="20"/>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2025, the Group’s wholly-owned subsidiary transferred its 100% equity interests in Shenzhen Dianlian Information Technology Co., Ltd., the operator of eHuzhu mutual aid platform, to Fanhua Blueplus Health Management Co., Ltd. (“Blueplus”), another wholly-owned subsidiary of the Group. Immediately thereafter, the Group disposed of its 100% equity interest in Blueplus for a cash consideration of RMB3,030, which was based on its net asset value as of December 31, 2024. A loss on disposal of RMB30,210 was recognized, measured as the excess of consideration over the net book value at the time of disposal. This transaction is not considered a discontinued operation as it does not reflect a strategic change in the Group’s business.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center"/>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105"/>
        <w:gridCol w:w="215"/>
        <w:gridCol w:w="4025"/>
      </w:tblGrid>
      <w:tr>
        <w:trPr/>
        <w:tc>
          <w:tcPr>
            <w:tcW w:w="1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i/>
                <w:sz w:val="20"/>
              </w:rPr>
            </w:pPr>
            <w:r>
              <w:rPr>
                <w:i/>
                <w:sz w:val="20"/>
              </w:rPr>
              <w:t>2)</w:t>
            </w:r>
          </w:p>
        </w:tc>
        <w:tc>
          <w:tcPr>
            <w:tcW w:w="4025" w:type="dxa"/>
            <w:tcBorders/>
            <w:vAlign w:val="center"/>
          </w:tcPr>
          <w:p>
            <w:pPr>
              <w:pStyle w:val="TableContents"/>
              <w:bidi w:val="0"/>
              <w:spacing w:before="0" w:after="283"/>
              <w:jc w:val="both"/>
              <w:rPr>
                <w:i/>
                <w:sz w:val="20"/>
              </w:rPr>
            </w:pPr>
            <w:r>
              <w:rPr>
                <w:i/>
                <w:sz w:val="20"/>
              </w:rPr>
              <w:t>Disposal of Beijing Fanlian Investment Co., Ltd.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2025, the group disposed of 100% equity interests in Beijing Fanlian Investment Co., Ltd., for a cash consideration of RMB14,260. The Group recognized a loss of RMB6,441, which was determined by the excess of the sales consideration over the net book value of the subsidiaries at the time of disposal.  </w:t>
      </w:r>
    </w:p>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105"/>
        <w:gridCol w:w="350"/>
        <w:gridCol w:w="2915"/>
      </w:tblGrid>
      <w:tr>
        <w:trPr/>
        <w:tc>
          <w:tcPr>
            <w:tcW w:w="105" w:type="dxa"/>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both"/>
              <w:rPr/>
            </w:pPr>
            <w:r>
              <w:rPr>
                <w:i/>
                <w:sz w:val="20"/>
              </w:rPr>
              <w:t>3</w:t>
            </w:r>
            <w:r>
              <w:rPr>
                <w:rFonts w:eastAsia="Times New Roman;Times;Serif"/>
                <w:i/>
                <w:sz w:val="20"/>
              </w:rPr>
              <w:t>）</w:t>
            </w:r>
          </w:p>
        </w:tc>
        <w:tc>
          <w:tcPr>
            <w:tcW w:w="2915" w:type="dxa"/>
            <w:tcBorders/>
            <w:vAlign w:val="center"/>
          </w:tcPr>
          <w:p>
            <w:pPr>
              <w:pStyle w:val="TableContents"/>
              <w:bidi w:val="0"/>
              <w:spacing w:before="0" w:after="283"/>
              <w:jc w:val="both"/>
              <w:rPr>
                <w:i/>
                <w:sz w:val="20"/>
              </w:rPr>
            </w:pPr>
            <w:r>
              <w:rPr>
                <w:i/>
                <w:sz w:val="20"/>
              </w:rPr>
              <w:t>Disposal of two agency companies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fiscal year ended December 31, 2025, the Group disposed two agency companies, separately to independent third parties. The total cash consideration amounted to RMB359 which was fully settled as of December 31, 2025. The Group recognized a loss of RMB79,954 on disposal of these subsidiaries, which was determined by the excess of the sales consideration over the net book value of the subsidiaries at the time of disposal. Since the disposal did not represent any strategic change of the Group’s operation, the disposal was not presented as discontinued operations.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respective closing date of each of these disposals in the fiscal year ended December 31, 2025, the Group has completed the closing procedures of all the above transactions and has effectively transferred its control of these subsidiaries to the respective buyers.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Disposal of Meidiya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disposal is categorized as a discontinued operation if the disposal group is a component of an entity or group of components that meets the held for sale criteria, is disposed of by sale or other than by sale and represents a strategic shift that has or will have a major effect on an entity’s operations and financial results. The results of disposals that qualify as a discontinued operation are presented as such for all reporting periods presented. Results of discontinued operations include all revenues and expenses directly derived from such disposal group; general corporate overhead is not allocated to a discontinued operation. For disposals other than by sale, results of operations of a business would not be recorded as a discontinued operation until the period in which the business is actually disposed of other than by 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2025, the Group disposed of 100% equity interests in Guangdong Meidiya Investment Co., Ltd. (“Meidiya”) to a third party for cash consideration of RMB30,240. Meidiya holds approximately 44.7% of the equity interests of Fanhua Insurance Surveyors &amp; Loss Adjustors Co., Ltd. (“FHISLA”) and its subsidiaries (collectively referred to as the “Disposal Group”). The Disposed Group historically constituted the Group’s claims-adjusting segment, over which the Group exercised control through a series of act-in-concert arrangements. As a result of the divesture, the Group deconsolidated the Disposed Group with effect from January 1, 2025 and no longer conducts any material operations in the claims-adjusting business. Concurrently, the act-in-concert arrangements among Meidiya and the other shareholders of FHISLA were mutually terminated by all parties effective February 1, 2025.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sales of the Disposal Group represented a strategic business shift having a major effect on the Group’s operations and financial results. The results of operations for the Disposal Group are presented as discontinued operations on the consolidated statements of income (loss) and comprehensive (loss) income, and assets and liabilities are reflected as “Assets and Liabilities of Discontinued Operations” on the consolidated balance sheets for all periods presented. Amounts for all periods discussed below reflect the results of operations, financial condition and cash flows from the Company’s continuing operations, unless otherwise noted.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2025, the Group calculated a gain resulting from such disposition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the carrying amounts of the major classes of assets and liabilities from the discontinued operations in the consolidated balance sheets as of January 1, 2025 is as follow.</w:t>
      </w:r>
    </w:p>
    <w:p>
      <w:pPr>
        <w:pStyle w:val="TextBody"/>
        <w:bidi w:val="0"/>
        <w:spacing w:before="0" w:after="0"/>
        <w:ind w:left="0" w:right="0" w:firstLine="360"/>
        <w:jc w:val="both"/>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1355"/>
        <w:gridCol w:w="60"/>
        <w:gridCol w:w="60"/>
        <w:gridCol w:w="680"/>
        <w:gridCol w:w="75"/>
      </w:tblGrid>
      <w:tr>
        <w:trPr/>
        <w:tc>
          <w:tcPr>
            <w:tcW w:w="13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both"/>
              <w:rPr/>
            </w:pPr>
            <w:r>
              <w:rPr/>
              <w:t>Consideration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30,240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6974" w:type="dxa"/>
        <w:jc w:val="left"/>
        <w:tblInd w:w="0" w:type="dxa"/>
        <w:tblLayout w:type="fixed"/>
        <w:tblCellMar>
          <w:top w:w="0" w:type="dxa"/>
          <w:left w:w="0" w:type="dxa"/>
          <w:bottom w:w="0" w:type="dxa"/>
          <w:right w:w="0" w:type="dxa"/>
        </w:tblCellMar>
      </w:tblPr>
      <w:tblGrid>
        <w:gridCol w:w="5690"/>
        <w:gridCol w:w="60"/>
        <w:gridCol w:w="77"/>
        <w:gridCol w:w="1037"/>
        <w:gridCol w:w="110"/>
      </w:tblGrid>
      <w:tr>
        <w:trPr/>
        <w:tc>
          <w:tcPr>
            <w:tcW w:w="56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b/>
              </w:rPr>
            </w:pPr>
            <w:r>
              <w:rPr>
                <w:b/>
              </w:rPr>
              <w:t>January 1,</w:t>
            </w:r>
          </w:p>
        </w:tc>
        <w:tc>
          <w:tcPr>
            <w:tcW w:w="110"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both"/>
              <w:rPr>
                <w:b/>
              </w:rPr>
            </w:pPr>
            <w:r>
              <w:rPr>
                <w:b/>
              </w:rPr>
              <w:t>Assets</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both"/>
              <w:rPr/>
            </w:pPr>
            <w:r>
              <w:rPr/>
              <w:t>Cash and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88,579</w:t>
            </w:r>
          </w:p>
        </w:tc>
        <w:tc>
          <w:tcPr>
            <w:tcW w:w="110"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both"/>
              <w:rPr/>
            </w:pPr>
            <w:r>
              <w:rPr/>
              <w:t>Short term investments</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52,025</w:t>
            </w:r>
          </w:p>
        </w:tc>
        <w:tc>
          <w:tcPr>
            <w:tcW w:w="110"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both"/>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75,763</w:t>
            </w:r>
          </w:p>
        </w:tc>
        <w:tc>
          <w:tcPr>
            <w:tcW w:w="110"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both"/>
              <w:rPr/>
            </w:pPr>
            <w:r>
              <w:rPr/>
              <w:t>Other receivables, net</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24,073</w:t>
            </w:r>
          </w:p>
        </w:tc>
        <w:tc>
          <w:tcPr>
            <w:tcW w:w="110"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both"/>
              <w:rPr/>
            </w:pPr>
            <w:r>
              <w:rPr/>
              <w:t>Other current assets, net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9,211</w:t>
            </w:r>
          </w:p>
        </w:tc>
        <w:tc>
          <w:tcPr>
            <w:tcW w:w="110"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both"/>
              <w:rPr/>
            </w:pPr>
            <w:r>
              <w:rPr/>
              <w:t>Property, plant, and equipment, net</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7,306</w:t>
            </w:r>
          </w:p>
        </w:tc>
        <w:tc>
          <w:tcPr>
            <w:tcW w:w="110"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both"/>
              <w:rPr/>
            </w:pPr>
            <w:r>
              <w:rPr/>
              <w:t>Other non-current assets, net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6,237</w:t>
            </w:r>
          </w:p>
        </w:tc>
        <w:tc>
          <w:tcPr>
            <w:tcW w:w="110"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both"/>
              <w:rPr/>
            </w:pPr>
            <w:r>
              <w:rPr/>
              <w:t>Right of use asset</w:t>
            </w:r>
          </w:p>
        </w:tc>
        <w:tc>
          <w:tcPr>
            <w:tcW w:w="60" w:type="dxa"/>
            <w:tcBorders/>
            <w:vAlign w:val="center"/>
          </w:tcPr>
          <w:p>
            <w:pPr>
              <w:pStyle w:val="TableContents"/>
              <w:bidi w:val="0"/>
              <w:spacing w:before="0" w:after="283"/>
              <w:jc w:val="left"/>
              <w:rPr/>
            </w:pPr>
            <w:r>
              <w:rPr/>
              <w:t> </w:t>
            </w:r>
          </w:p>
        </w:tc>
        <w:tc>
          <w:tcPr>
            <w:tcW w:w="7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tcMar>
              <w:bottom w:w="28" w:type="dxa"/>
            </w:tcMar>
            <w:vAlign w:val="center"/>
          </w:tcPr>
          <w:p>
            <w:pPr>
              <w:pStyle w:val="TableContents"/>
              <w:bidi w:val="0"/>
              <w:spacing w:before="0" w:after="283"/>
              <w:jc w:val="right"/>
              <w:rPr/>
            </w:pPr>
            <w:r>
              <w:rPr/>
              <w:t>14,032</w:t>
            </w:r>
          </w:p>
        </w:tc>
        <w:tc>
          <w:tcPr>
            <w:tcW w:w="110"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both"/>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277,226</w:t>
            </w:r>
          </w:p>
        </w:tc>
        <w:tc>
          <w:tcPr>
            <w:tcW w:w="110"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both"/>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both"/>
              <w:rPr/>
            </w:pPr>
            <w:r>
              <w:rPr/>
              <w:t>Other payable and accrued expenses</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92,446</w:t>
            </w:r>
          </w:p>
        </w:tc>
        <w:tc>
          <w:tcPr>
            <w:tcW w:w="110"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both"/>
              <w:rPr/>
            </w:pPr>
            <w:r>
              <w:rPr/>
              <w:t>Accrued payroll</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41,846</w:t>
            </w:r>
          </w:p>
        </w:tc>
        <w:tc>
          <w:tcPr>
            <w:tcW w:w="110"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both"/>
              <w:rPr/>
            </w:pPr>
            <w:r>
              <w:rPr/>
              <w:t>Income tax payable</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10,104</w:t>
            </w:r>
          </w:p>
        </w:tc>
        <w:tc>
          <w:tcPr>
            <w:tcW w:w="110"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both"/>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13,538</w:t>
            </w:r>
          </w:p>
        </w:tc>
        <w:tc>
          <w:tcPr>
            <w:tcW w:w="110"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both"/>
              <w:rPr/>
            </w:pPr>
            <w:r>
              <w:rPr/>
              <w:t>Deferred tax liabilities</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5,481</w:t>
            </w:r>
          </w:p>
        </w:tc>
        <w:tc>
          <w:tcPr>
            <w:tcW w:w="110"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both"/>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163,415</w:t>
            </w:r>
          </w:p>
        </w:tc>
        <w:tc>
          <w:tcPr>
            <w:tcW w:w="110"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both"/>
              <w:rPr/>
            </w:pPr>
            <w:r>
              <w:rPr/>
              <w:t>Total net assets of the Disposal Group</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113,811</w:t>
            </w:r>
          </w:p>
        </w:tc>
        <w:tc>
          <w:tcPr>
            <w:tcW w:w="110"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both"/>
              <w:rPr/>
            </w:pPr>
            <w:r>
              <w:rPr/>
              <w:t>Less: Non-controlling interests of the Disposal Group</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(86,801</w:t>
            </w:r>
          </w:p>
        </w:tc>
        <w:tc>
          <w:tcPr>
            <w:tcW w:w="110" w:type="dxa"/>
            <w:tcBorders/>
            <w:shd w:fill="CCEEFF" w:val="clear"/>
            <w:vAlign w:val="center"/>
          </w:tcPr>
          <w:p>
            <w:pPr>
              <w:pStyle w:val="TableContents"/>
              <w:bidi w:val="0"/>
              <w:spacing w:before="0" w:after="283"/>
              <w:jc w:val="left"/>
              <w:rPr/>
            </w:pPr>
            <w:r>
              <w:rPr/>
              <w:t>)</w:t>
            </w:r>
          </w:p>
        </w:tc>
      </w:tr>
      <w:tr>
        <w:trPr/>
        <w:tc>
          <w:tcPr>
            <w:tcW w:w="5690" w:type="dxa"/>
            <w:tcBorders/>
            <w:vAlign w:val="center"/>
          </w:tcPr>
          <w:p>
            <w:pPr>
              <w:pStyle w:val="TableContents"/>
              <w:bidi w:val="0"/>
              <w:spacing w:before="0" w:after="283"/>
              <w:jc w:val="both"/>
              <w:rPr/>
            </w:pPr>
            <w:r>
              <w:rPr/>
              <w:t>Net assets of the Disposal Group contributable to the Group</w:t>
            </w:r>
          </w:p>
        </w:tc>
        <w:tc>
          <w:tcPr>
            <w:tcW w:w="60" w:type="dxa"/>
            <w:tcBorders/>
            <w:vAlign w:val="center"/>
          </w:tcPr>
          <w:p>
            <w:pPr>
              <w:pStyle w:val="TableContents"/>
              <w:bidi w:val="0"/>
              <w:spacing w:before="0" w:after="283"/>
              <w:jc w:val="left"/>
              <w:rPr/>
            </w:pPr>
            <w:r>
              <w:rPr/>
              <w:t> </w:t>
            </w:r>
          </w:p>
        </w:tc>
        <w:tc>
          <w:tcPr>
            <w:tcW w:w="7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tcMar>
              <w:bottom w:w="28" w:type="dxa"/>
            </w:tcMar>
            <w:vAlign w:val="center"/>
          </w:tcPr>
          <w:p>
            <w:pPr>
              <w:pStyle w:val="TableContents"/>
              <w:bidi w:val="0"/>
              <w:spacing w:before="0" w:after="283"/>
              <w:jc w:val="right"/>
              <w:rPr/>
            </w:pPr>
            <w:r>
              <w:rPr/>
              <w:t>27,010</w:t>
            </w:r>
          </w:p>
        </w:tc>
        <w:tc>
          <w:tcPr>
            <w:tcW w:w="110"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both"/>
              <w:rPr>
                <w:b/>
              </w:rPr>
            </w:pPr>
            <w:r>
              <w:rPr>
                <w:b/>
              </w:rPr>
              <w:t>Gain on disposal of the Disposal Group</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3,230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Other Receivables, net</w:t>
      </w:r>
    </w:p>
    <w:p>
      <w:pPr>
        <w:pStyle w:val="TextBody"/>
        <w:bidi w:val="0"/>
        <w:spacing w:before="0" w:after="0"/>
        <w:ind w:left="0" w:right="0" w:firstLine="7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net consist of the following:</w:t>
      </w:r>
    </w:p>
    <w:p>
      <w:pPr>
        <w:pStyle w:val="TextBody"/>
        <w:bidi w:val="0"/>
        <w:spacing w:before="0" w:after="0"/>
        <w:ind w:left="0" w:right="0" w:firstLine="360"/>
        <w:jc w:val="both"/>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6500"/>
        <w:gridCol w:w="60"/>
        <w:gridCol w:w="60"/>
        <w:gridCol w:w="1055"/>
        <w:gridCol w:w="95"/>
        <w:gridCol w:w="60"/>
        <w:gridCol w:w="60"/>
        <w:gridCol w:w="1055"/>
        <w:gridCol w:w="110"/>
      </w:tblGrid>
      <w:tr>
        <w:trPr/>
        <w:tc>
          <w:tcPr>
            <w:tcW w:w="6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June 30,</w:t>
              <w:br/>
              <w:t>2026</w:t>
            </w:r>
          </w:p>
        </w:tc>
        <w:tc>
          <w:tcPr>
            <w:tcW w:w="110"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Advances to staff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3,267</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pPr>
            <w:r>
              <w:rPr/>
              <w:t>Rental deposits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5,439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4,539</w:t>
            </w:r>
          </w:p>
        </w:tc>
        <w:tc>
          <w:tcPr>
            <w:tcW w:w="110" w:type="dxa"/>
            <w:tcBorders/>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Loan receivable to third parties (ii)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804,834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921,633</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pPr>
            <w:r>
              <w:rPr/>
              <w:t>Consideration receivable from disposal of long-term investments (iii)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816,653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775,413</w:t>
            </w:r>
          </w:p>
        </w:tc>
        <w:tc>
          <w:tcPr>
            <w:tcW w:w="110" w:type="dxa"/>
            <w:tcBorders/>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Receivables consideration from share issuance (iv)</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234,688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pPr>
            <w:r>
              <w:rPr/>
              <w:t>Receivables from disposed subsidiaries (v)</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8,002</w:t>
            </w:r>
          </w:p>
        </w:tc>
        <w:tc>
          <w:tcPr>
            <w:tcW w:w="110" w:type="dxa"/>
            <w:tcBorders/>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5,119</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pPr>
            <w:r>
              <w:rPr/>
              <w:t>Less: Allowance for expected credit losses - other receivables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(1,577,710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(1,574,741</w:t>
            </w:r>
          </w:p>
        </w:tc>
        <w:tc>
          <w:tcPr>
            <w:tcW w:w="110" w:type="dxa"/>
            <w:tcBorders/>
            <w:vAlign w:val="center"/>
          </w:tcPr>
          <w:p>
            <w:pPr>
              <w:pStyle w:val="TableContents"/>
              <w:bidi w:val="0"/>
              <w:spacing w:before="0" w:after="283"/>
              <w:jc w:val="left"/>
              <w:rPr/>
            </w:pPr>
            <w:r>
              <w:rPr/>
              <w:t>)</w:t>
            </w:r>
          </w:p>
        </w:tc>
      </w:tr>
      <w:tr>
        <w:trPr/>
        <w:tc>
          <w:tcPr>
            <w:tcW w:w="6500" w:type="dxa"/>
            <w:tcBorders/>
            <w:shd w:fill="CCEEFF" w:val="clear"/>
            <w:vAlign w:val="center"/>
          </w:tcPr>
          <w:p>
            <w:pPr>
              <w:pStyle w:val="TableContents"/>
              <w:bidi w:val="0"/>
              <w:spacing w:before="0" w:after="283"/>
              <w:jc w:val="left"/>
              <w:rPr/>
            </w:pPr>
            <w:r>
              <w:rPr/>
              <w:t>Other receivables,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288,339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143,232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movement of the Group’s allowance for expected credit losses of other receivable:</w:t>
      </w:r>
    </w:p>
    <w:p>
      <w:pPr>
        <w:pStyle w:val="TextBody"/>
        <w:bidi w:val="0"/>
        <w:spacing w:before="0" w:after="0"/>
        <w:ind w:left="0" w:right="0" w:firstLine="360"/>
        <w:jc w:val="both"/>
        <w:rPr>
          <w:caps w:val="false"/>
          <w:smallCaps w:val="false"/>
        </w:rPr>
      </w:pPr>
      <w:r>
        <w:rPr>
          <w:caps w:val="false"/>
          <w:smallCaps w:val="false"/>
        </w:rPr>
        <w:t> </w:t>
      </w:r>
    </w:p>
    <w:tbl>
      <w:tblPr>
        <w:tblW w:w="8877" w:type="dxa"/>
        <w:jc w:val="left"/>
        <w:tblInd w:w="0" w:type="dxa"/>
        <w:tblLayout w:type="fixed"/>
        <w:tblCellMar>
          <w:top w:w="0" w:type="dxa"/>
          <w:left w:w="0" w:type="dxa"/>
          <w:bottom w:w="0" w:type="dxa"/>
          <w:right w:w="0" w:type="dxa"/>
        </w:tblCellMar>
      </w:tblPr>
      <w:tblGrid>
        <w:gridCol w:w="6065"/>
        <w:gridCol w:w="60"/>
        <w:gridCol w:w="78"/>
        <w:gridCol w:w="1047"/>
        <w:gridCol w:w="78"/>
        <w:gridCol w:w="78"/>
        <w:gridCol w:w="78"/>
        <w:gridCol w:w="1283"/>
        <w:gridCol w:w="110"/>
      </w:tblGrid>
      <w:tr>
        <w:trPr/>
        <w:tc>
          <w:tcPr>
            <w:tcW w:w="60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4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r>
          </w:p>
        </w:tc>
        <w:tc>
          <w:tcPr>
            <w:tcW w:w="110"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10"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5" w:type="dxa"/>
            <w:gridSpan w:val="2"/>
            <w:tcBorders/>
            <w:vAlign w:val="center"/>
          </w:tcPr>
          <w:p>
            <w:pPr>
              <w:pStyle w:val="TableContents"/>
              <w:bidi w:val="0"/>
              <w:spacing w:before="0" w:after="283"/>
              <w:jc w:val="center"/>
              <w:rPr>
                <w:b/>
              </w:rPr>
            </w:pPr>
            <w:r>
              <w:rPr>
                <w:b/>
              </w:rPr>
              <w:t>RMB</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61" w:type="dxa"/>
            <w:gridSpan w:val="2"/>
            <w:tcBorders/>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Balance at the beginning of the period</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47,142</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1,577,710</w:t>
            </w:r>
          </w:p>
        </w:tc>
        <w:tc>
          <w:tcPr>
            <w:tcW w:w="110" w:type="dxa"/>
            <w:tcBorders/>
            <w:shd w:fill="CCEEFF" w:val="clear"/>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pPr>
            <w:r>
              <w:rPr/>
              <w:t>Current period allowance for (reversal of) expected credit losses</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486,272</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(2,969</w:t>
            </w:r>
          </w:p>
        </w:tc>
        <w:tc>
          <w:tcPr>
            <w:tcW w:w="110" w:type="dxa"/>
            <w:tcBorders/>
            <w:vAlign w:val="center"/>
          </w:tcPr>
          <w:p>
            <w:pPr>
              <w:pStyle w:val="TableContents"/>
              <w:bidi w:val="0"/>
              <w:spacing w:before="0" w:after="283"/>
              <w:jc w:val="left"/>
              <w:rPr/>
            </w:pPr>
            <w:r>
              <w:rPr/>
              <w:t>)</w:t>
            </w:r>
          </w:p>
        </w:tc>
      </w:tr>
      <w:tr>
        <w:trPr/>
        <w:tc>
          <w:tcPr>
            <w:tcW w:w="6065" w:type="dxa"/>
            <w:tcBorders/>
            <w:shd w:fill="CCEEFF" w:val="clear"/>
            <w:vAlign w:val="center"/>
          </w:tcPr>
          <w:p>
            <w:pPr>
              <w:pStyle w:val="TableContents"/>
              <w:bidi w:val="0"/>
              <w:spacing w:before="0" w:after="283"/>
              <w:jc w:val="left"/>
              <w:rPr/>
            </w:pPr>
            <w:r>
              <w:rPr/>
              <w:t>Balance at the end of the period</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533,414</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1,574,741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(i)</w:t>
            </w:r>
          </w:p>
        </w:tc>
        <w:tc>
          <w:tcPr>
            <w:tcW w:w="9912" w:type="dxa"/>
            <w:tcBorders/>
            <w:vAlign w:val="center"/>
          </w:tcPr>
          <w:p>
            <w:pPr>
              <w:pStyle w:val="TableContents"/>
              <w:bidi w:val="0"/>
              <w:spacing w:before="0" w:after="283"/>
              <w:jc w:val="both"/>
              <w:rPr/>
            </w:pPr>
            <w:r>
              <w:rPr/>
              <w:t xml:space="preserve">Amount represented advances to staffs or entrepreneurial agents of the Group for daily business operations, which are unsecured, interest-free and repayable on demand. </w:t>
            </w:r>
          </w:p>
        </w:tc>
      </w:tr>
      <w:tr>
        <w:trPr/>
        <w:tc>
          <w:tcPr>
            <w:tcW w:w="293" w:type="dxa"/>
            <w:tcBorders/>
            <w:vAlign w:val="center"/>
          </w:tcPr>
          <w:p>
            <w:pPr>
              <w:pStyle w:val="TableContents"/>
              <w:bidi w:val="0"/>
              <w:spacing w:before="0" w:after="283"/>
              <w:jc w:val="left"/>
              <w:rPr/>
            </w:pPr>
            <w:r>
              <w:rPr/>
              <w:t> </w:t>
            </w:r>
          </w:p>
        </w:tc>
        <w:tc>
          <w:tcPr>
            <w:tcW w:w="9912" w:type="dxa"/>
            <w:tcBorders/>
            <w:vAlign w:val="center"/>
          </w:tcPr>
          <w:p>
            <w:pPr>
              <w:pStyle w:val="TableContents"/>
              <w:bidi w:val="0"/>
              <w:spacing w:before="0" w:after="283"/>
              <w:jc w:val="left"/>
              <w:rPr/>
            </w:pPr>
            <w:r>
              <w:rPr/>
              <w:t> </w:t>
            </w:r>
          </w:p>
        </w:tc>
      </w:tr>
      <w:tr>
        <w:trPr/>
        <w:tc>
          <w:tcPr>
            <w:tcW w:w="293" w:type="dxa"/>
            <w:tcBorders/>
            <w:vAlign w:val="center"/>
          </w:tcPr>
          <w:p>
            <w:pPr>
              <w:pStyle w:val="TableContents"/>
              <w:bidi w:val="0"/>
              <w:spacing w:before="0" w:after="283"/>
              <w:jc w:val="left"/>
              <w:rPr/>
            </w:pPr>
            <w:r>
              <w:rPr/>
              <w:t>(ii)</w:t>
            </w:r>
          </w:p>
        </w:tc>
        <w:tc>
          <w:tcPr>
            <w:tcW w:w="9912" w:type="dxa"/>
            <w:tcBorders/>
            <w:vAlign w:val="center"/>
          </w:tcPr>
          <w:p>
            <w:pPr>
              <w:pStyle w:val="TableContents"/>
              <w:bidi w:val="0"/>
              <w:spacing w:before="0" w:after="283"/>
              <w:jc w:val="both"/>
              <w:rPr/>
            </w:pPr>
            <w:r>
              <w:rPr/>
              <w:t>Amount mainly represented 1) term-loan (matures in June 2025 with extension) to Sichuan Tianyi Real Estate Development Co., Ltd. (“Sichuan Tianyi”) of RMB25,000 and RMB25,000 as of December 31, 2025 and June 30, 2026, respectively, and corresponding interest receivable of RMB2,016 and RMB2,016 as of December 31, 2025 and June 30, 2026, respectively. The loan is guaranteed by the ultimate controlling owner of Sichuan Tianyi, whom is jointly liable, with the interest rate of 6% per annum; 2) term-loan (matured in 2025) to a third party company principally engaged in provision of education service of RMB670,300 and RMB670,300 as of December 31, 2025 and June 30, 2026, respectively, with the interest rate of 5% per annum, and corresponding interest receivable of RMB33,515 and RMB33,515 as of December 31, 2025 and June 30, 2026, respectively; 3) term-loan (matures in 2026) to a third party company of RMB12,000 as of December 31, 2025, with the interest rate of 3% per annum; 4) term-loan (matured in March 2026) to third parties of RMB40,000 as of December 31, 2025, with the interest rate of 5% per annum and 5) term loans to three third parties of RMB108,500, RMB8,000 and RMB4,000, respectively, all of which are repayable within one year. Based on the Group’s evaluation of the collectibility of all term loan receivables, a provision amounting to RMB 801,094 was accrued as at June 30, 2026.</w:t>
            </w:r>
          </w:p>
        </w:tc>
      </w:tr>
      <w:tr>
        <w:trPr/>
        <w:tc>
          <w:tcPr>
            <w:tcW w:w="293" w:type="dxa"/>
            <w:tcBorders/>
            <w:vAlign w:val="center"/>
          </w:tcPr>
          <w:p>
            <w:pPr>
              <w:pStyle w:val="TableContents"/>
              <w:bidi w:val="0"/>
              <w:spacing w:before="0" w:after="283"/>
              <w:jc w:val="both"/>
              <w:rPr/>
            </w:pPr>
            <w:r>
              <w:rPr/>
              <w:t> </w:t>
            </w:r>
          </w:p>
        </w:tc>
        <w:tc>
          <w:tcPr>
            <w:tcW w:w="9912" w:type="dxa"/>
            <w:tcBorders/>
            <w:vAlign w:val="center"/>
          </w:tcPr>
          <w:p>
            <w:pPr>
              <w:pStyle w:val="TableContents"/>
              <w:bidi w:val="0"/>
              <w:spacing w:before="0" w:after="283"/>
              <w:jc w:val="both"/>
              <w:rPr/>
            </w:pPr>
            <w:r>
              <w:rPr/>
              <w:t> </w:t>
            </w:r>
          </w:p>
        </w:tc>
      </w:tr>
      <w:tr>
        <w:trPr/>
        <w:tc>
          <w:tcPr>
            <w:tcW w:w="293" w:type="dxa"/>
            <w:tcBorders/>
            <w:vAlign w:val="center"/>
          </w:tcPr>
          <w:p>
            <w:pPr>
              <w:pStyle w:val="TableContents"/>
              <w:bidi w:val="0"/>
              <w:spacing w:before="0" w:after="283"/>
              <w:jc w:val="both"/>
              <w:rPr/>
            </w:pPr>
            <w:r>
              <w:rPr/>
              <w:t>(iii)</w:t>
            </w:r>
          </w:p>
        </w:tc>
        <w:tc>
          <w:tcPr>
            <w:tcW w:w="9912" w:type="dxa"/>
            <w:tcBorders/>
            <w:vAlign w:val="center"/>
          </w:tcPr>
          <w:p>
            <w:pPr>
              <w:pStyle w:val="TableContents"/>
              <w:bidi w:val="0"/>
              <w:spacing w:before="0" w:after="283"/>
              <w:jc w:val="both"/>
              <w:rPr/>
            </w:pPr>
            <w:r>
              <w:rPr/>
              <w:t>Amount as of June 30, 2026 primarily represented:1) the outstanding receivable of RMB47,630 from the divestiture of subsidiaries, of which RMB38,240 was settled in April 2026; and 2) the outstanding receivable of RMB766,023 from third-party investment firms as the Group transferred 53,466,331 Class A ordinary shares of BGM to third-party investment firms in May 2025. The share transfer consideration was expected to be settled in two equal installments within two years. Following the assessment on the recoverability of outstanding receivables, the Group recorded a provision of RMB769,153 as of June 30, 2026.</w:t>
            </w:r>
          </w:p>
        </w:tc>
      </w:tr>
      <w:tr>
        <w:trPr/>
        <w:tc>
          <w:tcPr>
            <w:tcW w:w="293" w:type="dxa"/>
            <w:tcBorders/>
            <w:vAlign w:val="center"/>
          </w:tcPr>
          <w:p>
            <w:pPr>
              <w:pStyle w:val="TableContents"/>
              <w:bidi w:val="0"/>
              <w:spacing w:before="0" w:after="283"/>
              <w:jc w:val="both"/>
              <w:rPr/>
            </w:pPr>
            <w:r>
              <w:rPr/>
              <w:t> </w:t>
            </w:r>
          </w:p>
        </w:tc>
        <w:tc>
          <w:tcPr>
            <w:tcW w:w="9912" w:type="dxa"/>
            <w:tcBorders/>
            <w:vAlign w:val="center"/>
          </w:tcPr>
          <w:p>
            <w:pPr>
              <w:pStyle w:val="TableContents"/>
              <w:bidi w:val="0"/>
              <w:spacing w:before="0" w:after="283"/>
              <w:jc w:val="both"/>
              <w:rPr/>
            </w:pPr>
            <w:r>
              <w:rPr/>
              <w:t> </w:t>
            </w:r>
          </w:p>
        </w:tc>
      </w:tr>
      <w:tr>
        <w:trPr/>
        <w:tc>
          <w:tcPr>
            <w:tcW w:w="293" w:type="dxa"/>
            <w:tcBorders/>
            <w:vAlign w:val="center"/>
          </w:tcPr>
          <w:p>
            <w:pPr>
              <w:pStyle w:val="TableContents"/>
              <w:bidi w:val="0"/>
              <w:spacing w:before="0" w:after="283"/>
              <w:jc w:val="both"/>
              <w:rPr/>
            </w:pPr>
            <w:r>
              <w:rPr/>
              <w:t>(iv)</w:t>
            </w:r>
          </w:p>
        </w:tc>
        <w:tc>
          <w:tcPr>
            <w:tcW w:w="9912" w:type="dxa"/>
            <w:tcBorders/>
            <w:vAlign w:val="center"/>
          </w:tcPr>
          <w:p>
            <w:pPr>
              <w:pStyle w:val="TableContents"/>
              <w:bidi w:val="0"/>
              <w:spacing w:before="0" w:after="283"/>
              <w:jc w:val="both"/>
              <w:rPr/>
            </w:pPr>
            <w:r>
              <w:rPr/>
              <w:t xml:space="preserve">Amount mainly represented subscription consideration receivable in connection with the share issuance completed in 2025, which was fully settled in April 2026. </w:t>
            </w:r>
          </w:p>
        </w:tc>
      </w:tr>
      <w:tr>
        <w:trPr/>
        <w:tc>
          <w:tcPr>
            <w:tcW w:w="293" w:type="dxa"/>
            <w:tcBorders/>
            <w:vAlign w:val="center"/>
          </w:tcPr>
          <w:p>
            <w:pPr>
              <w:pStyle w:val="TableContents"/>
              <w:bidi w:val="0"/>
              <w:spacing w:before="0" w:after="283"/>
              <w:jc w:val="both"/>
              <w:rPr/>
            </w:pPr>
            <w:r>
              <w:rPr/>
              <w:t> </w:t>
            </w:r>
          </w:p>
        </w:tc>
        <w:tc>
          <w:tcPr>
            <w:tcW w:w="9912" w:type="dxa"/>
            <w:tcBorders/>
            <w:vAlign w:val="center"/>
          </w:tcPr>
          <w:p>
            <w:pPr>
              <w:pStyle w:val="TableContents"/>
              <w:bidi w:val="0"/>
              <w:spacing w:before="0" w:after="283"/>
              <w:jc w:val="both"/>
              <w:rPr/>
            </w:pPr>
            <w:r>
              <w:rPr/>
              <w:t> </w:t>
            </w:r>
          </w:p>
        </w:tc>
      </w:tr>
      <w:tr>
        <w:trPr/>
        <w:tc>
          <w:tcPr>
            <w:tcW w:w="293" w:type="dxa"/>
            <w:tcBorders/>
            <w:vAlign w:val="center"/>
          </w:tcPr>
          <w:p>
            <w:pPr>
              <w:pStyle w:val="TableContents"/>
              <w:bidi w:val="0"/>
              <w:spacing w:before="0" w:after="283"/>
              <w:jc w:val="both"/>
              <w:rPr/>
            </w:pPr>
            <w:r>
              <w:rPr/>
              <w:t>(v)</w:t>
            </w:r>
          </w:p>
        </w:tc>
        <w:tc>
          <w:tcPr>
            <w:tcW w:w="9912" w:type="dxa"/>
            <w:tcBorders/>
            <w:vAlign w:val="center"/>
          </w:tcPr>
          <w:p>
            <w:pPr>
              <w:pStyle w:val="TableContents"/>
              <w:bidi w:val="0"/>
              <w:spacing w:before="0" w:after="283"/>
              <w:jc w:val="both"/>
              <w:rPr/>
            </w:pPr>
            <w:r>
              <w:rPr/>
              <w:t>Amount mainly represented receivables from disposed subsidiaries, of which RMB5,000 was settled in July 2026.</w:t>
            </w:r>
          </w:p>
        </w:tc>
      </w:tr>
    </w:tbl>
    <w:p>
      <w:pPr>
        <w:pStyle w:val="TextBody"/>
        <w:bidi w:val="0"/>
        <w:spacing w:before="0" w:after="0"/>
        <w:ind w:left="0" w:right="0" w:firstLine="799"/>
        <w:jc w:val="both"/>
        <w:rPr>
          <w:caps w:val="false"/>
          <w:smallCaps w:val="false"/>
        </w:rPr>
      </w:pPr>
      <w:r>
        <w:rPr>
          <w:caps w:val="false"/>
          <w:smallCaps w:val="false"/>
        </w:rPr>
        <w:t> </w:t>
      </w:r>
    </w:p>
    <w:p>
      <w:pPr>
        <w:pStyle w:val="TextBody"/>
        <w:bidi w:val="0"/>
        <w:spacing w:before="0" w:after="0"/>
        <w:ind w:left="0" w:right="0" w:firstLine="799"/>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ind w:left="0" w:right="0" w:firstLine="799"/>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Inventories, net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net consist of the following:</w:t>
      </w:r>
    </w:p>
    <w:p>
      <w:pPr>
        <w:pStyle w:val="TextBody"/>
        <w:bidi w:val="0"/>
        <w:spacing w:before="0" w:after="0"/>
        <w:ind w:left="0" w:right="0" w:firstLine="432"/>
        <w:jc w:val="both"/>
        <w:rPr>
          <w:caps w:val="false"/>
          <w:smallCaps w:val="false"/>
        </w:rPr>
      </w:pPr>
      <w:r>
        <w:rPr>
          <w:caps w:val="false"/>
          <w:smallCaps w:val="false"/>
        </w:rPr>
        <w:t> </w:t>
      </w:r>
    </w:p>
    <w:tbl>
      <w:tblPr>
        <w:tblW w:w="4078" w:type="dxa"/>
        <w:jc w:val="left"/>
        <w:tblInd w:w="0" w:type="dxa"/>
        <w:tblLayout w:type="fixed"/>
        <w:tblCellMar>
          <w:top w:w="0" w:type="dxa"/>
          <w:left w:w="0" w:type="dxa"/>
          <w:bottom w:w="0" w:type="dxa"/>
          <w:right w:w="0" w:type="dxa"/>
        </w:tblCellMar>
      </w:tblPr>
      <w:tblGrid>
        <w:gridCol w:w="1475"/>
        <w:gridCol w:w="60"/>
        <w:gridCol w:w="276"/>
        <w:gridCol w:w="1198"/>
        <w:gridCol w:w="60"/>
        <w:gridCol w:w="60"/>
        <w:gridCol w:w="61"/>
        <w:gridCol w:w="813"/>
        <w:gridCol w:w="75"/>
      </w:tblGrid>
      <w:tr>
        <w:trPr/>
        <w:tc>
          <w:tcPr>
            <w:tcW w:w="14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June 30,</w:t>
              <w:br/>
              <w:t>2026</w:t>
            </w:r>
          </w:p>
        </w:tc>
        <w:tc>
          <w:tcPr>
            <w:tcW w:w="7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right"/>
              <w:rPr>
                <w:b/>
              </w:rPr>
            </w:pPr>
            <w:r>
              <w:rPr>
                <w:b/>
              </w:rPr>
              <w:t>RMB</w:t>
            </w:r>
          </w:p>
        </w:tc>
        <w:tc>
          <w:tcPr>
            <w:tcW w:w="75" w:type="dxa"/>
            <w:tcBorders/>
            <w:vAlign w:val="center"/>
          </w:tcPr>
          <w:p>
            <w:pPr>
              <w:pStyle w:val="TableContents"/>
              <w:bidi w:val="0"/>
              <w:spacing w:before="0" w:after="283"/>
              <w:ind w:left="0" w:right="0" w:hanging="173"/>
              <w:jc w:val="left"/>
              <w:rPr/>
            </w:pPr>
            <w:r>
              <w:rPr/>
              <w:t> </w:t>
            </w:r>
          </w:p>
        </w:tc>
      </w:tr>
      <w:tr>
        <w:trPr/>
        <w:tc>
          <w:tcPr>
            <w:tcW w:w="1475" w:type="dxa"/>
            <w:tcBorders/>
            <w:shd w:fill="CCEEFF" w:val="clear"/>
            <w:vAlign w:val="center"/>
          </w:tcPr>
          <w:p>
            <w:pPr>
              <w:pStyle w:val="TableContents"/>
              <w:bidi w:val="0"/>
              <w:spacing w:before="0" w:after="283"/>
              <w:jc w:val="both"/>
              <w:rPr/>
            </w:pPr>
            <w:r>
              <w:rPr/>
              <w:t>Finished goods</w:t>
            </w:r>
          </w:p>
        </w:tc>
        <w:tc>
          <w:tcPr>
            <w:tcW w:w="60" w:type="dxa"/>
            <w:tcBorders/>
            <w:shd w:fill="CCEEFF" w:val="clear"/>
            <w:vAlign w:val="center"/>
          </w:tcPr>
          <w:p>
            <w:pPr>
              <w:pStyle w:val="TableContents"/>
              <w:bidi w:val="0"/>
              <w:spacing w:before="0" w:after="283"/>
              <w:jc w:val="left"/>
              <w:rPr/>
            </w:pPr>
            <w:r>
              <w:rPr/>
              <w:t> </w:t>
            </w:r>
          </w:p>
        </w:tc>
        <w:tc>
          <w:tcPr>
            <w:tcW w:w="2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center"/>
          </w:tcPr>
          <w:p>
            <w:pPr>
              <w:pStyle w:val="TableContents"/>
              <w:bidi w:val="0"/>
              <w:spacing w:before="0" w:after="283"/>
              <w:jc w:val="right"/>
              <w:rPr/>
            </w:pPr>
            <w:r>
              <w:rPr/>
              <w:t>867,560</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1475" w:type="dxa"/>
            <w:tcBorders/>
            <w:vAlign w:val="center"/>
          </w:tcPr>
          <w:p>
            <w:pPr>
              <w:pStyle w:val="TableContents"/>
              <w:bidi w:val="0"/>
              <w:spacing w:before="0" w:after="283"/>
              <w:jc w:val="both"/>
              <w:rPr/>
            </w:pPr>
            <w:r>
              <w:rPr/>
              <w:t>Total</w:t>
            </w:r>
          </w:p>
        </w:tc>
        <w:tc>
          <w:tcPr>
            <w:tcW w:w="60" w:type="dxa"/>
            <w:tcBorders/>
            <w:vAlign w:val="center"/>
          </w:tcPr>
          <w:p>
            <w:pPr>
              <w:pStyle w:val="TableContents"/>
              <w:bidi w:val="0"/>
              <w:spacing w:before="0" w:after="283"/>
              <w:jc w:val="left"/>
              <w:rPr/>
            </w:pPr>
            <w:r>
              <w:rPr/>
              <w:t> </w:t>
            </w:r>
          </w:p>
        </w:tc>
        <w:tc>
          <w:tcPr>
            <w:tcW w:w="27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8"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bottom w:val="single" w:sz="12" w:space="0" w:color="000000"/>
            </w:tcBorders>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tcMar>
              <w:bottom w:w="28" w:type="dxa"/>
            </w:tcMar>
            <w:vAlign w:val="center"/>
          </w:tcPr>
          <w:p>
            <w:pPr>
              <w:pStyle w:val="TableContents"/>
              <w:bidi w:val="0"/>
              <w:spacing w:before="0" w:after="283"/>
              <w:jc w:val="right"/>
              <w:rPr/>
            </w:pPr>
            <w:r>
              <w:rPr/>
              <w:t>867,560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2025 and 2026, the Group recognized inventories write-down of nil and nil in cost of revenue, respectively.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Property, Plant and Equipment, net</w:t>
      </w:r>
    </w:p>
    <w:p>
      <w:pPr>
        <w:pStyle w:val="TextBody"/>
        <w:bidi w:val="0"/>
        <w:spacing w:before="0" w:after="0"/>
        <w:ind w:left="0" w:right="0" w:firstLine="7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 is comprised of the following:</w:t>
      </w:r>
    </w:p>
    <w:p>
      <w:pPr>
        <w:pStyle w:val="TextBody"/>
        <w:bidi w:val="0"/>
        <w:spacing w:before="0" w:after="0"/>
        <w:ind w:left="0" w:right="0" w:firstLine="360"/>
        <w:jc w:val="both"/>
        <w:rPr>
          <w:caps w:val="false"/>
          <w:smallCaps w:val="false"/>
        </w:rPr>
      </w:pPr>
      <w:r>
        <w:rPr>
          <w:caps w:val="false"/>
          <w:smallCaps w:val="false"/>
        </w:rPr>
        <w:t> </w:t>
      </w:r>
    </w:p>
    <w:tbl>
      <w:tblPr>
        <w:tblW w:w="6579" w:type="dxa"/>
        <w:jc w:val="left"/>
        <w:tblInd w:w="0" w:type="dxa"/>
        <w:tblLayout w:type="fixed"/>
        <w:tblCellMar>
          <w:top w:w="0" w:type="dxa"/>
          <w:left w:w="0" w:type="dxa"/>
          <w:bottom w:w="0" w:type="dxa"/>
          <w:right w:w="0" w:type="dxa"/>
        </w:tblCellMar>
      </w:tblPr>
      <w:tblGrid>
        <w:gridCol w:w="3785"/>
        <w:gridCol w:w="60"/>
        <w:gridCol w:w="97"/>
        <w:gridCol w:w="1437"/>
        <w:gridCol w:w="95"/>
        <w:gridCol w:w="60"/>
        <w:gridCol w:w="60"/>
        <w:gridCol w:w="875"/>
        <w:gridCol w:w="110"/>
      </w:tblGrid>
      <w:tr>
        <w:trPr/>
        <w:tc>
          <w:tcPr>
            <w:tcW w:w="37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June 30,</w:t>
              <w:br/>
              <w:t>2026</w:t>
            </w:r>
          </w:p>
        </w:tc>
        <w:tc>
          <w:tcPr>
            <w:tcW w:w="11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ind w:left="0" w:right="0" w:hanging="173"/>
              <w:jc w:val="left"/>
              <w:rPr/>
            </w:pPr>
            <w:r>
              <w:rPr/>
              <w:t> </w:t>
            </w:r>
          </w:p>
        </w:tc>
      </w:tr>
      <w:tr>
        <w:trPr/>
        <w:tc>
          <w:tcPr>
            <w:tcW w:w="3785" w:type="dxa"/>
            <w:tcBorders/>
            <w:shd w:fill="CCEEFF" w:val="clear"/>
            <w:vAlign w:val="center"/>
          </w:tcPr>
          <w:p>
            <w:pPr>
              <w:pStyle w:val="TableContents"/>
              <w:bidi w:val="0"/>
              <w:spacing w:before="0" w:after="283"/>
              <w:jc w:val="both"/>
              <w:rPr/>
            </w:pPr>
            <w:r>
              <w:rPr/>
              <w:t>Building</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3,240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3,240</w:t>
            </w:r>
          </w:p>
        </w:tc>
        <w:tc>
          <w:tcPr>
            <w:tcW w:w="110" w:type="dxa"/>
            <w:tcBorders/>
            <w:shd w:fill="CCEEFF" w:val="clear"/>
            <w:vAlign w:val="center"/>
          </w:tcPr>
          <w:p>
            <w:pPr>
              <w:pStyle w:val="TableContents"/>
              <w:bidi w:val="0"/>
              <w:spacing w:before="0" w:after="283"/>
              <w:ind w:left="0" w:right="0" w:hanging="173"/>
              <w:jc w:val="left"/>
              <w:rPr/>
            </w:pPr>
            <w:r>
              <w:rPr/>
              <w:t> </w:t>
            </w:r>
          </w:p>
        </w:tc>
      </w:tr>
      <w:tr>
        <w:trPr/>
        <w:tc>
          <w:tcPr>
            <w:tcW w:w="3785" w:type="dxa"/>
            <w:tcBorders/>
            <w:vAlign w:val="center"/>
          </w:tcPr>
          <w:p>
            <w:pPr>
              <w:pStyle w:val="TableContents"/>
              <w:bidi w:val="0"/>
              <w:spacing w:before="0" w:after="283"/>
              <w:jc w:val="both"/>
              <w:rPr/>
            </w:pPr>
            <w:r>
              <w:rPr/>
              <w:t>Office equipment, furniture and fixtures</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before="0" w:after="283"/>
              <w:jc w:val="right"/>
              <w:rPr/>
            </w:pPr>
            <w:r>
              <w:rPr/>
              <w:t>109,767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106,230</w:t>
            </w:r>
          </w:p>
        </w:tc>
        <w:tc>
          <w:tcPr>
            <w:tcW w:w="110" w:type="dxa"/>
            <w:tcBorders/>
            <w:vAlign w:val="center"/>
          </w:tcPr>
          <w:p>
            <w:pPr>
              <w:pStyle w:val="TableContents"/>
              <w:bidi w:val="0"/>
              <w:spacing w:before="0" w:after="283"/>
              <w:ind w:left="0" w:right="0" w:hanging="173"/>
              <w:jc w:val="left"/>
              <w:rPr/>
            </w:pPr>
            <w:r>
              <w:rPr/>
              <w:t> </w:t>
            </w:r>
          </w:p>
        </w:tc>
      </w:tr>
      <w:tr>
        <w:trPr/>
        <w:tc>
          <w:tcPr>
            <w:tcW w:w="3785" w:type="dxa"/>
            <w:tcBorders/>
            <w:shd w:fill="CCEEFF" w:val="clear"/>
            <w:vAlign w:val="center"/>
          </w:tcPr>
          <w:p>
            <w:pPr>
              <w:pStyle w:val="TableContents"/>
              <w:bidi w:val="0"/>
              <w:spacing w:before="0" w:after="283"/>
              <w:jc w:val="both"/>
              <w:rPr/>
            </w:pPr>
            <w:r>
              <w:rPr/>
              <w:t>Motor vehicles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4,163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5,369</w:t>
            </w:r>
          </w:p>
        </w:tc>
        <w:tc>
          <w:tcPr>
            <w:tcW w:w="110" w:type="dxa"/>
            <w:tcBorders/>
            <w:shd w:fill="CCEEFF" w:val="clear"/>
            <w:vAlign w:val="center"/>
          </w:tcPr>
          <w:p>
            <w:pPr>
              <w:pStyle w:val="TableContents"/>
              <w:bidi w:val="0"/>
              <w:spacing w:before="0" w:after="283"/>
              <w:ind w:left="0" w:right="0" w:hanging="173"/>
              <w:jc w:val="left"/>
              <w:rPr/>
            </w:pPr>
            <w:r>
              <w:rPr/>
              <w:t> </w:t>
            </w:r>
          </w:p>
        </w:tc>
      </w:tr>
      <w:tr>
        <w:trPr/>
        <w:tc>
          <w:tcPr>
            <w:tcW w:w="3785" w:type="dxa"/>
            <w:tcBorders/>
            <w:vAlign w:val="center"/>
          </w:tcPr>
          <w:p>
            <w:pPr>
              <w:pStyle w:val="TableContents"/>
              <w:bidi w:val="0"/>
              <w:spacing w:before="0" w:after="283"/>
              <w:jc w:val="both"/>
              <w:rPr/>
            </w:pPr>
            <w:r>
              <w:rPr/>
              <w:t>Leasehold improvements</w:t>
            </w:r>
          </w:p>
        </w:tc>
        <w:tc>
          <w:tcPr>
            <w:tcW w:w="60" w:type="dxa"/>
            <w:tcBorders/>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7" w:type="dxa"/>
            <w:tcBorders>
              <w:bottom w:val="single" w:sz="12" w:space="0" w:color="000000"/>
            </w:tcBorders>
            <w:tcMar>
              <w:bottom w:w="28" w:type="dxa"/>
            </w:tcMar>
            <w:vAlign w:val="center"/>
          </w:tcPr>
          <w:p>
            <w:pPr>
              <w:pStyle w:val="TableContents"/>
              <w:bidi w:val="0"/>
              <w:spacing w:before="0" w:after="283"/>
              <w:jc w:val="right"/>
              <w:rPr/>
            </w:pPr>
            <w:r>
              <w:rPr/>
              <w:t>11,783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11,029</w:t>
            </w:r>
          </w:p>
        </w:tc>
        <w:tc>
          <w:tcPr>
            <w:tcW w:w="110" w:type="dxa"/>
            <w:tcBorders/>
            <w:vAlign w:val="center"/>
          </w:tcPr>
          <w:p>
            <w:pPr>
              <w:pStyle w:val="TableContents"/>
              <w:bidi w:val="0"/>
              <w:spacing w:before="0" w:after="283"/>
              <w:ind w:left="0" w:right="0" w:hanging="173"/>
              <w:jc w:val="left"/>
              <w:rPr/>
            </w:pPr>
            <w:r>
              <w:rPr/>
              <w:t> </w:t>
            </w:r>
          </w:p>
        </w:tc>
      </w:tr>
      <w:tr>
        <w:trPr/>
        <w:tc>
          <w:tcPr>
            <w:tcW w:w="3785"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7" w:type="dxa"/>
            <w:tcBorders>
              <w:bottom w:val="single" w:sz="12" w:space="0" w:color="000000"/>
            </w:tcBorders>
            <w:shd w:fill="CCEEFF" w:val="clear"/>
            <w:tcMar>
              <w:bottom w:w="28" w:type="dxa"/>
            </w:tcMar>
            <w:vAlign w:val="center"/>
          </w:tcPr>
          <w:p>
            <w:pPr>
              <w:pStyle w:val="TableContents"/>
              <w:bidi w:val="0"/>
              <w:spacing w:before="0" w:after="283"/>
              <w:jc w:val="right"/>
              <w:rPr/>
            </w:pPr>
            <w:r>
              <w:rPr/>
              <w:t>128,953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125,868</w:t>
            </w:r>
          </w:p>
        </w:tc>
        <w:tc>
          <w:tcPr>
            <w:tcW w:w="110" w:type="dxa"/>
            <w:tcBorders/>
            <w:shd w:fill="CCEEFF" w:val="clear"/>
            <w:vAlign w:val="center"/>
          </w:tcPr>
          <w:p>
            <w:pPr>
              <w:pStyle w:val="TableContents"/>
              <w:bidi w:val="0"/>
              <w:spacing w:before="0" w:after="283"/>
              <w:ind w:left="0" w:right="0" w:hanging="173"/>
              <w:jc w:val="left"/>
              <w:rPr/>
            </w:pPr>
            <w:r>
              <w:rPr/>
              <w:t> </w:t>
            </w:r>
          </w:p>
        </w:tc>
      </w:tr>
      <w:tr>
        <w:trPr/>
        <w:tc>
          <w:tcPr>
            <w:tcW w:w="3785" w:type="dxa"/>
            <w:tcBorders/>
            <w:vAlign w:val="center"/>
          </w:tcPr>
          <w:p>
            <w:pPr>
              <w:pStyle w:val="TableContents"/>
              <w:bidi w:val="0"/>
              <w:spacing w:before="0" w:after="283"/>
              <w:jc w:val="both"/>
              <w:rPr/>
            </w:pPr>
            <w:r>
              <w:rPr/>
              <w:t>Less: Accumulated depreciation</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before="0" w:after="283"/>
              <w:jc w:val="right"/>
              <w:rPr/>
            </w:pPr>
            <w:r>
              <w:rPr/>
              <w:t>(119,717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(117,397</w:t>
            </w:r>
          </w:p>
        </w:tc>
        <w:tc>
          <w:tcPr>
            <w:tcW w:w="110" w:type="dxa"/>
            <w:tcBorders/>
            <w:vAlign w:val="center"/>
          </w:tcPr>
          <w:p>
            <w:pPr>
              <w:pStyle w:val="TableContents"/>
              <w:bidi w:val="0"/>
              <w:spacing w:before="0" w:after="283"/>
              <w:ind w:left="0" w:right="0" w:hanging="173"/>
              <w:jc w:val="left"/>
              <w:rPr/>
            </w:pPr>
            <w:r>
              <w:rPr/>
              <w:t>)</w:t>
            </w:r>
          </w:p>
        </w:tc>
      </w:tr>
      <w:tr>
        <w:trPr/>
        <w:tc>
          <w:tcPr>
            <w:tcW w:w="3785" w:type="dxa"/>
            <w:tcBorders/>
            <w:shd w:fill="CCEEFF" w:val="clear"/>
            <w:vAlign w:val="center"/>
          </w:tcPr>
          <w:p>
            <w:pPr>
              <w:pStyle w:val="TableContents"/>
              <w:bidi w:val="0"/>
              <w:spacing w:before="0" w:after="283"/>
              <w:jc w:val="both"/>
              <w:rPr/>
            </w:pPr>
            <w:r>
              <w:rPr/>
              <w:t>Construction in progress</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7" w:type="dxa"/>
            <w:tcBorders>
              <w:bottom w:val="single" w:sz="12" w:space="0" w:color="000000"/>
            </w:tcBorders>
            <w:shd w:fill="CCEEFF" w:val="clear"/>
            <w:tcMar>
              <w:bottom w:w="28" w:type="dxa"/>
            </w:tcMar>
            <w:vAlign w:val="center"/>
          </w:tcPr>
          <w:p>
            <w:pPr>
              <w:pStyle w:val="TableContents"/>
              <w:bidi w:val="0"/>
              <w:spacing w:before="0" w:after="283"/>
              <w:jc w:val="right"/>
              <w:rPr/>
            </w:pPr>
            <w:r>
              <w:rPr/>
              <w:t>53,640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53,640</w:t>
            </w:r>
          </w:p>
        </w:tc>
        <w:tc>
          <w:tcPr>
            <w:tcW w:w="110" w:type="dxa"/>
            <w:tcBorders/>
            <w:shd w:fill="CCEEFF" w:val="clear"/>
            <w:vAlign w:val="center"/>
          </w:tcPr>
          <w:p>
            <w:pPr>
              <w:pStyle w:val="TableContents"/>
              <w:bidi w:val="0"/>
              <w:spacing w:before="0" w:after="283"/>
              <w:ind w:left="0" w:right="0" w:hanging="173"/>
              <w:jc w:val="left"/>
              <w:rPr/>
            </w:pPr>
            <w:r>
              <w:rPr/>
              <w:t> </w:t>
            </w:r>
          </w:p>
        </w:tc>
      </w:tr>
      <w:tr>
        <w:trPr/>
        <w:tc>
          <w:tcPr>
            <w:tcW w:w="37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7" w:type="dxa"/>
            <w:tcBorders>
              <w:bottom w:val="single" w:sz="12" w:space="0" w:color="000000"/>
            </w:tcBorders>
            <w:tcMar>
              <w:bottom w:w="28" w:type="dxa"/>
            </w:tcMar>
            <w:vAlign w:val="center"/>
          </w:tcPr>
          <w:p>
            <w:pPr>
              <w:pStyle w:val="TableContents"/>
              <w:bidi w:val="0"/>
              <w:spacing w:before="0" w:after="283"/>
              <w:jc w:val="right"/>
              <w:rPr/>
            </w:pPr>
            <w:r>
              <w:rPr/>
              <w:t>62,876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62,111</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impairment for property, plant and equipment was recorded for the six months ended June 30, 2025 and 2026. The depreciation expenses was RMB2,433 and RMB2,635 for the six months ended June 30, 2025 and 2026, respectively.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Other Current Assets</w:t>
      </w:r>
    </w:p>
    <w:p>
      <w:pPr>
        <w:pStyle w:val="TextBody"/>
        <w:bidi w:val="0"/>
        <w:spacing w:before="0" w:after="0"/>
        <w:ind w:left="0" w:right="0" w:firstLine="7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 consist of the following:</w:t>
      </w:r>
    </w:p>
    <w:p>
      <w:pPr>
        <w:pStyle w:val="TextBody"/>
        <w:bidi w:val="0"/>
        <w:spacing w:before="0" w:after="0"/>
        <w:ind w:left="0" w:right="0" w:firstLine="799"/>
        <w:jc w:val="both"/>
        <w:rPr>
          <w:caps w:val="false"/>
          <w:smallCaps w:val="false"/>
        </w:rPr>
      </w:pPr>
      <w:r>
        <w:rPr>
          <w:caps w:val="false"/>
          <w:smallCaps w:val="false"/>
        </w:rPr>
        <w:t> </w:t>
      </w:r>
    </w:p>
    <w:tbl>
      <w:tblPr>
        <w:tblW w:w="8114" w:type="dxa"/>
        <w:jc w:val="left"/>
        <w:tblInd w:w="0" w:type="dxa"/>
        <w:tblLayout w:type="fixed"/>
        <w:tblCellMar>
          <w:top w:w="0" w:type="dxa"/>
          <w:left w:w="0" w:type="dxa"/>
          <w:bottom w:w="0" w:type="dxa"/>
          <w:right w:w="0" w:type="dxa"/>
        </w:tblCellMar>
      </w:tblPr>
      <w:tblGrid>
        <w:gridCol w:w="5450"/>
        <w:gridCol w:w="60"/>
        <w:gridCol w:w="123"/>
        <w:gridCol w:w="1411"/>
        <w:gridCol w:w="60"/>
        <w:gridCol w:w="60"/>
        <w:gridCol w:w="70"/>
        <w:gridCol w:w="805"/>
        <w:gridCol w:w="75"/>
      </w:tblGrid>
      <w:tr>
        <w:trPr/>
        <w:tc>
          <w:tcPr>
            <w:tcW w:w="54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June 30,</w:t>
              <w:br/>
              <w:t>2026</w:t>
            </w:r>
          </w:p>
        </w:tc>
        <w:tc>
          <w:tcPr>
            <w:tcW w:w="75"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both"/>
              <w:rPr/>
            </w:pPr>
            <w:r>
              <w:rPr/>
              <w:t>Prepaid operating costs and miscellaneous daily expenses</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14,674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9,258</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both"/>
              <w:rPr/>
            </w:pPr>
            <w:r>
              <w:rPr/>
              <w:t>Excess input value-added tax (“VAT”) credits(i)</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3,485</w:t>
            </w:r>
          </w:p>
        </w:tc>
        <w:tc>
          <w:tcPr>
            <w:tcW w:w="75"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both"/>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1,205</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both"/>
              <w:rPr/>
            </w:pPr>
            <w:r>
              <w:rPr/>
              <w:t>Other</w:t>
            </w:r>
          </w:p>
        </w:tc>
        <w:tc>
          <w:tcPr>
            <w:tcW w:w="60" w:type="dxa"/>
            <w:tcBorders/>
            <w:vAlign w:val="center"/>
          </w:tcPr>
          <w:p>
            <w:pPr>
              <w:pStyle w:val="TableContents"/>
              <w:bidi w:val="0"/>
              <w:spacing w:before="0" w:after="283"/>
              <w:jc w:val="left"/>
              <w:rPr/>
            </w:pPr>
            <w:r>
              <w:rPr/>
              <w:t> </w:t>
            </w:r>
          </w:p>
        </w:tc>
        <w:tc>
          <w:tcPr>
            <w:tcW w:w="1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1" w:type="dxa"/>
            <w:tcBorders>
              <w:bottom w:val="single" w:sz="12" w:space="0" w:color="000000"/>
            </w:tcBorders>
            <w:tcMar>
              <w:bottom w:w="28" w:type="dxa"/>
            </w:tcMar>
            <w:vAlign w:val="center"/>
          </w:tcPr>
          <w:p>
            <w:pPr>
              <w:pStyle w:val="TableContents"/>
              <w:bidi w:val="0"/>
              <w:spacing w:before="0" w:after="283"/>
              <w:jc w:val="right"/>
              <w:rPr/>
            </w:pPr>
            <w:r>
              <w:rPr/>
              <w:t>135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5" w:type="dxa"/>
            <w:tcBorders>
              <w:bottom w:val="single" w:sz="12" w:space="0" w:color="000000"/>
            </w:tcBorders>
            <w:tcMar>
              <w:bottom w:w="28" w:type="dxa"/>
            </w:tcMar>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1" w:type="dxa"/>
            <w:tcBorders>
              <w:bottom w:val="single" w:sz="12" w:space="0" w:color="000000"/>
            </w:tcBorders>
            <w:shd w:fill="CCEEFF" w:val="clear"/>
            <w:tcMar>
              <w:bottom w:w="28" w:type="dxa"/>
            </w:tcMar>
            <w:vAlign w:val="center"/>
          </w:tcPr>
          <w:p>
            <w:pPr>
              <w:pStyle w:val="TableContents"/>
              <w:bidi w:val="0"/>
              <w:spacing w:before="0" w:after="283"/>
              <w:jc w:val="right"/>
              <w:rPr/>
            </w:pPr>
            <w:r>
              <w:rPr/>
              <w:t>14,809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center"/>
          </w:tcPr>
          <w:p>
            <w:pPr>
              <w:pStyle w:val="TableContents"/>
              <w:bidi w:val="0"/>
              <w:spacing w:before="0" w:after="283"/>
              <w:jc w:val="right"/>
              <w:rPr/>
            </w:pPr>
            <w:r>
              <w:rPr/>
              <w:t>13,967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excess input VAT credits represented VAT already paid or borne by the Group’s PRC entities that are qualified as general VAT taxpayers on the goods purchased which will be utilized to offset against future output VAT when calculating the VAT payable. The VAT balance is recorded either in other current liabilities or other current assets on the consolidated balance sheets.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Other Non-Current Assets, net</w:t>
      </w:r>
    </w:p>
    <w:p>
      <w:pPr>
        <w:pStyle w:val="TextBody"/>
        <w:bidi w:val="0"/>
        <w:spacing w:before="0" w:after="0"/>
        <w:ind w:left="0" w:right="0" w:firstLine="7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net consist of the following: </w:t>
      </w:r>
    </w:p>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6665"/>
        <w:gridCol w:w="60"/>
        <w:gridCol w:w="90"/>
        <w:gridCol w:w="1325"/>
        <w:gridCol w:w="95"/>
        <w:gridCol w:w="60"/>
        <w:gridCol w:w="60"/>
        <w:gridCol w:w="875"/>
        <w:gridCol w:w="110"/>
      </w:tblGrid>
      <w:tr>
        <w:trPr/>
        <w:tc>
          <w:tcPr>
            <w:tcW w:w="6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June 30,</w:t>
              <w:br/>
              <w:t>2026</w:t>
            </w:r>
          </w:p>
        </w:tc>
        <w:tc>
          <w:tcPr>
            <w:tcW w:w="110"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ind w:left="0" w:right="0" w:hanging="180"/>
              <w:jc w:val="left"/>
              <w:rPr/>
            </w:pPr>
            <w:r>
              <w:rPr/>
              <w:t> </w:t>
            </w:r>
          </w:p>
        </w:tc>
      </w:tr>
      <w:tr>
        <w:trPr/>
        <w:tc>
          <w:tcPr>
            <w:tcW w:w="6665" w:type="dxa"/>
            <w:tcBorders/>
            <w:shd w:fill="CCEEFF" w:val="clear"/>
            <w:vAlign w:val="center"/>
          </w:tcPr>
          <w:p>
            <w:pPr>
              <w:pStyle w:val="TableContents"/>
              <w:bidi w:val="0"/>
              <w:spacing w:before="0" w:after="283"/>
              <w:jc w:val="left"/>
              <w:rPr/>
            </w:pPr>
            <w:r>
              <w:rPr/>
              <w:t>Equity investments without readily determinable fair value (Note 2(k))</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236,819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41,228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665" w:type="dxa"/>
            <w:tcBorders/>
            <w:vAlign w:val="center"/>
          </w:tcPr>
          <w:p>
            <w:pPr>
              <w:pStyle w:val="TableContents"/>
              <w:bidi w:val="0"/>
              <w:spacing w:before="0" w:after="283"/>
              <w:jc w:val="left"/>
              <w:rPr/>
            </w:pPr>
            <w:r>
              <w:rPr/>
              <w:t>Long-term hybrid instrument (Note 2(k)) (i)</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125,000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125,000</w:t>
            </w:r>
          </w:p>
        </w:tc>
        <w:tc>
          <w:tcPr>
            <w:tcW w:w="110" w:type="dxa"/>
            <w:tcBorders/>
            <w:vAlign w:val="center"/>
          </w:tcPr>
          <w:p>
            <w:pPr>
              <w:pStyle w:val="TableContents"/>
              <w:bidi w:val="0"/>
              <w:spacing w:before="0" w:after="283"/>
              <w:ind w:left="0" w:right="0" w:hanging="180"/>
              <w:jc w:val="left"/>
              <w:rPr/>
            </w:pPr>
            <w:r>
              <w:rPr/>
              <w:t> </w:t>
            </w:r>
          </w:p>
        </w:tc>
      </w:tr>
      <w:tr>
        <w:trPr/>
        <w:tc>
          <w:tcPr>
            <w:tcW w:w="6665" w:type="dxa"/>
            <w:tcBorders/>
            <w:shd w:fill="CCEEFF" w:val="clear"/>
            <w:vAlign w:val="center"/>
          </w:tcPr>
          <w:p>
            <w:pPr>
              <w:pStyle w:val="TableContents"/>
              <w:bidi w:val="0"/>
              <w:spacing w:before="0" w:after="283"/>
              <w:jc w:val="left"/>
              <w:rPr/>
            </w:pPr>
            <w:r>
              <w:rPr/>
              <w:t>Amount due from a third party  (ii)</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33,063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33,062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665" w:type="dxa"/>
            <w:tcBorders/>
            <w:vAlign w:val="center"/>
          </w:tcPr>
          <w:p>
            <w:pPr>
              <w:pStyle w:val="TableContents"/>
              <w:bidi w:val="0"/>
              <w:spacing w:before="0" w:after="283"/>
              <w:jc w:val="left"/>
              <w:rPr/>
            </w:pPr>
            <w:r>
              <w:rPr/>
              <w:t>Others</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667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442</w:t>
            </w:r>
          </w:p>
        </w:tc>
        <w:tc>
          <w:tcPr>
            <w:tcW w:w="110" w:type="dxa"/>
            <w:tcBorders/>
            <w:vAlign w:val="center"/>
          </w:tcPr>
          <w:p>
            <w:pPr>
              <w:pStyle w:val="TableContents"/>
              <w:bidi w:val="0"/>
              <w:spacing w:before="0" w:after="283"/>
              <w:ind w:left="0" w:right="0" w:hanging="180"/>
              <w:jc w:val="left"/>
              <w:rPr/>
            </w:pPr>
            <w:r>
              <w:rPr/>
              <w:t> </w:t>
            </w:r>
          </w:p>
        </w:tc>
      </w:tr>
      <w:tr>
        <w:trPr/>
        <w:tc>
          <w:tcPr>
            <w:tcW w:w="6665" w:type="dxa"/>
            <w:tcBorders/>
            <w:shd w:fill="CCEEFF" w:val="clear"/>
            <w:vAlign w:val="center"/>
          </w:tcPr>
          <w:p>
            <w:pPr>
              <w:pStyle w:val="TableContents"/>
              <w:bidi w:val="0"/>
              <w:spacing w:before="0" w:after="283"/>
              <w:jc w:val="left"/>
              <w:rPr/>
            </w:pPr>
            <w:r>
              <w:rPr/>
              <w:t>Less: Allowance for expected credit losses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(33,074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(33,070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665" w:type="dxa"/>
            <w:tcBorders/>
            <w:vAlign w:val="center"/>
          </w:tcPr>
          <w:p>
            <w:pPr>
              <w:pStyle w:val="TableContents"/>
              <w:bidi w:val="0"/>
              <w:spacing w:before="0" w:after="283"/>
              <w:jc w:val="left"/>
              <w:rPr/>
            </w:pPr>
            <w:r>
              <w:rPr/>
              <w:t>Less: Impairment loss</w:t>
            </w:r>
          </w:p>
        </w:tc>
        <w:tc>
          <w:tcPr>
            <w:tcW w:w="6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(125,000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(125,000</w:t>
            </w:r>
          </w:p>
        </w:tc>
        <w:tc>
          <w:tcPr>
            <w:tcW w:w="110" w:type="dxa"/>
            <w:tcBorders/>
            <w:vAlign w:val="center"/>
          </w:tcPr>
          <w:p>
            <w:pPr>
              <w:pStyle w:val="TableContents"/>
              <w:bidi w:val="0"/>
              <w:spacing w:before="0" w:after="283"/>
              <w:ind w:left="0" w:right="0" w:hanging="180"/>
              <w:jc w:val="left"/>
              <w:rPr/>
            </w:pPr>
            <w:r>
              <w:rPr/>
              <w:t>)</w:t>
            </w:r>
          </w:p>
        </w:tc>
      </w:tr>
      <w:tr>
        <w:trPr/>
        <w:tc>
          <w:tcPr>
            <w:tcW w:w="6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237,475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41,662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movement of the Group’s allowance for expected credit losses of other non-current assets:</w:t>
      </w:r>
    </w:p>
    <w:p>
      <w:pPr>
        <w:pStyle w:val="TextBody"/>
        <w:bidi w:val="0"/>
        <w:spacing w:before="0" w:after="0"/>
        <w:ind w:left="0" w:right="0" w:hanging="0"/>
        <w:jc w:val="left"/>
        <w:rPr>
          <w:caps w:val="false"/>
          <w:smallCaps w:val="false"/>
        </w:rPr>
      </w:pPr>
      <w:r>
        <w:rPr>
          <w:caps w:val="false"/>
          <w:smallCaps w:val="false"/>
        </w:rPr>
        <w:t> </w:t>
      </w:r>
    </w:p>
    <w:tbl>
      <w:tblPr>
        <w:tblW w:w="7678" w:type="dxa"/>
        <w:jc w:val="left"/>
        <w:tblInd w:w="0" w:type="dxa"/>
        <w:tblLayout w:type="fixed"/>
        <w:tblCellMar>
          <w:top w:w="0" w:type="dxa"/>
          <w:left w:w="0" w:type="dxa"/>
          <w:bottom w:w="0" w:type="dxa"/>
          <w:right w:w="0" w:type="dxa"/>
        </w:tblCellMar>
      </w:tblPr>
      <w:tblGrid>
        <w:gridCol w:w="4865"/>
        <w:gridCol w:w="60"/>
        <w:gridCol w:w="107"/>
        <w:gridCol w:w="1000"/>
        <w:gridCol w:w="107"/>
        <w:gridCol w:w="107"/>
        <w:gridCol w:w="107"/>
        <w:gridCol w:w="1215"/>
        <w:gridCol w:w="110"/>
      </w:tblGrid>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r>
          </w:p>
        </w:tc>
        <w:tc>
          <w:tcPr>
            <w:tcW w:w="110"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10"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7" w:type="dxa"/>
            <w:gridSpan w:val="2"/>
            <w:tcBorders/>
            <w:vAlign w:val="center"/>
          </w:tcPr>
          <w:p>
            <w:pPr>
              <w:pStyle w:val="TableContents"/>
              <w:bidi w:val="0"/>
              <w:spacing w:before="0" w:after="283"/>
              <w:jc w:val="center"/>
              <w:rPr>
                <w:b/>
              </w:rPr>
            </w:pPr>
            <w:r>
              <w:rPr>
                <w:b/>
              </w:rPr>
              <w:t>RMB</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ind w:left="0" w:right="0" w:hanging="180"/>
              <w:jc w:val="left"/>
              <w:rPr/>
            </w:pPr>
            <w:r>
              <w:rPr/>
              <w:t> </w:t>
            </w:r>
          </w:p>
        </w:tc>
      </w:tr>
      <w:tr>
        <w:trPr/>
        <w:tc>
          <w:tcPr>
            <w:tcW w:w="4865" w:type="dxa"/>
            <w:tcBorders/>
            <w:shd w:fill="CCEEFF" w:val="clear"/>
            <w:vAlign w:val="center"/>
          </w:tcPr>
          <w:p>
            <w:pPr>
              <w:pStyle w:val="TableContents"/>
              <w:bidi w:val="0"/>
              <w:spacing w:before="0" w:after="283"/>
              <w:jc w:val="left"/>
              <w:rPr/>
            </w:pPr>
            <w:r>
              <w:rPr/>
              <w:t>Balance at the beginning of the period</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4,032</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33,074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865" w:type="dxa"/>
            <w:tcBorders/>
            <w:vAlign w:val="center"/>
          </w:tcPr>
          <w:p>
            <w:pPr>
              <w:pStyle w:val="TableContents"/>
              <w:bidi w:val="0"/>
              <w:spacing w:before="0" w:after="283"/>
              <w:jc w:val="left"/>
              <w:rPr/>
            </w:pPr>
            <w:r>
              <w:rPr/>
              <w:t>Current period allowance for expected credit losses</w:t>
            </w:r>
          </w:p>
        </w:tc>
        <w:tc>
          <w:tcPr>
            <w:tcW w:w="60" w:type="dxa"/>
            <w:tcBorders/>
            <w:vAlign w:val="center"/>
          </w:tcPr>
          <w:p>
            <w:pPr>
              <w:pStyle w:val="TableContents"/>
              <w:bidi w:val="0"/>
              <w:spacing w:before="0" w:after="283"/>
              <w:jc w:val="left"/>
              <w:rPr/>
            </w:pPr>
            <w:r>
              <w:rPr/>
              <w:t> </w:t>
            </w:r>
          </w:p>
        </w:tc>
        <w:tc>
          <w:tcPr>
            <w:tcW w:w="1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tcMar>
              <w:bottom w:w="28" w:type="dxa"/>
            </w:tcMar>
            <w:vAlign w:val="center"/>
          </w:tcPr>
          <w:p>
            <w:pPr>
              <w:pStyle w:val="TableContents"/>
              <w:bidi w:val="0"/>
              <w:spacing w:before="0" w:after="283"/>
              <w:jc w:val="right"/>
              <w:rPr/>
            </w:pPr>
            <w:r>
              <w:rPr/>
              <w:t>492</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tcMar>
              <w:bottom w:w="28" w:type="dxa"/>
            </w:tcMar>
            <w:vAlign w:val="center"/>
          </w:tcPr>
          <w:p>
            <w:pPr>
              <w:pStyle w:val="TableContents"/>
              <w:bidi w:val="0"/>
              <w:spacing w:before="0" w:after="283"/>
              <w:jc w:val="right"/>
              <w:rPr/>
            </w:pPr>
            <w:r>
              <w:rPr/>
              <w:t>(4</w:t>
            </w:r>
          </w:p>
        </w:tc>
        <w:tc>
          <w:tcPr>
            <w:tcW w:w="110" w:type="dxa"/>
            <w:tcBorders/>
            <w:vAlign w:val="center"/>
          </w:tcPr>
          <w:p>
            <w:pPr>
              <w:pStyle w:val="TableContents"/>
              <w:bidi w:val="0"/>
              <w:spacing w:before="0" w:after="283"/>
              <w:ind w:left="0" w:right="0" w:hanging="180"/>
              <w:jc w:val="left"/>
              <w:rPr/>
            </w:pPr>
            <w:r>
              <w:rPr/>
              <w:t>)</w:t>
            </w:r>
          </w:p>
        </w:tc>
      </w:tr>
      <w:tr>
        <w:trPr/>
        <w:tc>
          <w:tcPr>
            <w:tcW w:w="4865" w:type="dxa"/>
            <w:tcBorders/>
            <w:shd w:fill="CCEEFF" w:val="clear"/>
            <w:vAlign w:val="center"/>
          </w:tcPr>
          <w:p>
            <w:pPr>
              <w:pStyle w:val="TableContents"/>
              <w:bidi w:val="0"/>
              <w:spacing w:before="0" w:after="283"/>
              <w:jc w:val="left"/>
              <w:rPr>
                <w:b/>
              </w:rPr>
            </w:pPr>
            <w:r>
              <w:rPr>
                <w:b/>
              </w:rPr>
              <w:t>Balance at the end of the period</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4,524</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33,070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sz w:val="20"/>
              </w:rPr>
            </w:pPr>
            <w:r>
              <w:rPr>
                <w:sz w:val="20"/>
              </w:rPr>
              <w:t>(i)</w:t>
            </w:r>
          </w:p>
        </w:tc>
        <w:tc>
          <w:tcPr>
            <w:tcW w:w="10004" w:type="dxa"/>
            <w:tcBorders/>
            <w:vAlign w:val="center"/>
          </w:tcPr>
          <w:p>
            <w:pPr>
              <w:pStyle w:val="TableContents"/>
              <w:bidi w:val="0"/>
              <w:spacing w:before="0" w:after="283"/>
              <w:jc w:val="both"/>
              <w:rPr>
                <w:sz w:val="20"/>
              </w:rPr>
            </w:pPr>
            <w:r>
              <w:rPr>
                <w:sz w:val="20"/>
              </w:rPr>
              <w:t>Amount represented a two-year-term debt security valued at RMB125,000 with a fixed return rate of 6% and an additional earning right contingently upon certain conditions met within the contract term. The Group recorded impairment loss on investment in debt securities of RMB125,000 as of December 31, 2025 in the consolidated statements of income (loss) and comprehensive (loss) income.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sz w:val="20"/>
              </w:rPr>
            </w:pPr>
            <w:r>
              <w:rPr>
                <w:sz w:val="20"/>
              </w:rPr>
              <w:t>(ii)</w:t>
            </w:r>
          </w:p>
        </w:tc>
        <w:tc>
          <w:tcPr>
            <w:tcW w:w="9938" w:type="dxa"/>
            <w:tcBorders/>
            <w:vAlign w:val="center"/>
          </w:tcPr>
          <w:p>
            <w:pPr>
              <w:pStyle w:val="TableContents"/>
              <w:bidi w:val="0"/>
              <w:spacing w:before="0" w:after="283"/>
              <w:jc w:val="both"/>
              <w:rPr>
                <w:sz w:val="20"/>
              </w:rPr>
            </w:pPr>
            <w:r>
              <w:rPr>
                <w:sz w:val="20"/>
              </w:rPr>
              <w:t>Amount represented a term-loan (matures in September 2028) to a third party of RMB30,000 and corresponding interest receivable RMB3,063 as of June 30,2026. The loan bears interest rate 4.5% per annum and is guaranteed by the ultimate controlling owner of the borrower, whom is jointly liable.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Leases</w:t>
      </w:r>
    </w:p>
    <w:p>
      <w:pPr>
        <w:pStyle w:val="TextBody"/>
        <w:bidi w:val="0"/>
        <w:spacing w:before="0" w:after="0"/>
        <w:ind w:left="0" w:right="0" w:firstLine="7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lease for office space includes only fixed rental payments with no variable lease payment terms. As of December 31, 2025 and June 30, 2026, there were no leases that have not yet commenced.</w:t>
      </w:r>
    </w:p>
    <w:p>
      <w:pPr>
        <w:pStyle w:val="TextBody"/>
        <w:bidi w:val="0"/>
        <w:spacing w:before="0" w:after="0"/>
        <w:ind w:left="0" w:right="0" w:firstLine="7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represents the aggregate ROU assets and related lease liabilities as of December 31, 2025 and June 30, 2026:</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bl>
      <w:tblPr>
        <w:tblW w:w="6103" w:type="dxa"/>
        <w:jc w:val="left"/>
        <w:tblInd w:w="0" w:type="dxa"/>
        <w:tblLayout w:type="fixed"/>
        <w:tblCellMar>
          <w:top w:w="0" w:type="dxa"/>
          <w:left w:w="0" w:type="dxa"/>
          <w:bottom w:w="0" w:type="dxa"/>
          <w:right w:w="0" w:type="dxa"/>
        </w:tblCellMar>
      </w:tblPr>
      <w:tblGrid>
        <w:gridCol w:w="3560"/>
        <w:gridCol w:w="60"/>
        <w:gridCol w:w="114"/>
        <w:gridCol w:w="1300"/>
        <w:gridCol w:w="60"/>
        <w:gridCol w:w="60"/>
        <w:gridCol w:w="70"/>
        <w:gridCol w:w="804"/>
        <w:gridCol w:w="75"/>
      </w:tblGrid>
      <w:tr>
        <w:trPr/>
        <w:tc>
          <w:tcPr>
            <w:tcW w:w="35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June 30,</w:t>
              <w:br/>
              <w:t>2026</w:t>
            </w:r>
          </w:p>
        </w:tc>
        <w:tc>
          <w:tcPr>
            <w:tcW w:w="7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ind w:left="0" w:right="0" w:hanging="173"/>
              <w:jc w:val="left"/>
              <w:rPr/>
            </w:pPr>
            <w:r>
              <w:rPr/>
              <w:t> </w:t>
            </w:r>
          </w:p>
        </w:tc>
      </w:tr>
      <w:tr>
        <w:trPr/>
        <w:tc>
          <w:tcPr>
            <w:tcW w:w="3560" w:type="dxa"/>
            <w:tcBorders/>
            <w:shd w:fill="CCEEFF" w:val="clear"/>
            <w:vAlign w:val="center"/>
          </w:tcPr>
          <w:p>
            <w:pPr>
              <w:pStyle w:val="TableContents"/>
              <w:bidi w:val="0"/>
              <w:spacing w:before="0" w:after="283"/>
              <w:jc w:val="both"/>
              <w:rPr/>
            </w:pPr>
            <w:r>
              <w:rPr/>
              <w:t>Operating lease ROU assets</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pPr>
            <w:r>
              <w:rPr/>
              <w:t>33,589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CCEEFF" w:val="clear"/>
            <w:tcMar>
              <w:bottom w:w="28" w:type="dxa"/>
            </w:tcMar>
            <w:vAlign w:val="center"/>
          </w:tcPr>
          <w:p>
            <w:pPr>
              <w:pStyle w:val="TableContents"/>
              <w:bidi w:val="0"/>
              <w:spacing w:before="0" w:after="283"/>
              <w:jc w:val="right"/>
              <w:rPr/>
            </w:pPr>
            <w:r>
              <w:rPr/>
              <w:t>26,183</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3560" w:type="dxa"/>
            <w:tcBorders/>
            <w:vAlign w:val="center"/>
          </w:tcPr>
          <w:p>
            <w:pPr>
              <w:pStyle w:val="TableContents"/>
              <w:bidi w:val="0"/>
              <w:spacing w:before="0" w:after="283"/>
              <w:jc w:val="both"/>
              <w:rPr/>
            </w:pPr>
            <w:r>
              <w:rPr/>
              <w:t>Current operating lease liabilities</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15,308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pPr>
            <w:r>
              <w:rPr/>
              <w:t>12,217</w:t>
            </w:r>
          </w:p>
        </w:tc>
        <w:tc>
          <w:tcPr>
            <w:tcW w:w="75" w:type="dxa"/>
            <w:tcBorders/>
            <w:vAlign w:val="center"/>
          </w:tcPr>
          <w:p>
            <w:pPr>
              <w:pStyle w:val="TableContents"/>
              <w:bidi w:val="0"/>
              <w:spacing w:before="0" w:after="283"/>
              <w:ind w:left="0" w:right="0" w:hanging="173"/>
              <w:jc w:val="left"/>
              <w:rPr/>
            </w:pPr>
            <w:r>
              <w:rPr/>
              <w:t> </w:t>
            </w:r>
          </w:p>
        </w:tc>
      </w:tr>
      <w:tr>
        <w:trPr/>
        <w:tc>
          <w:tcPr>
            <w:tcW w:w="3560" w:type="dxa"/>
            <w:tcBorders/>
            <w:shd w:fill="CCEEFF" w:val="clear"/>
            <w:vAlign w:val="center"/>
          </w:tcPr>
          <w:p>
            <w:pPr>
              <w:pStyle w:val="TableContents"/>
              <w:bidi w:val="0"/>
              <w:spacing w:before="0" w:after="283"/>
              <w:jc w:val="both"/>
              <w:rPr/>
            </w:pPr>
            <w:r>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pPr>
            <w:r>
              <w:rPr/>
              <w:t>15,463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CCEEFF" w:val="clear"/>
            <w:tcMar>
              <w:bottom w:w="28" w:type="dxa"/>
            </w:tcMar>
            <w:vAlign w:val="center"/>
          </w:tcPr>
          <w:p>
            <w:pPr>
              <w:pStyle w:val="TableContents"/>
              <w:bidi w:val="0"/>
              <w:spacing w:before="0" w:after="283"/>
              <w:jc w:val="right"/>
              <w:rPr/>
            </w:pPr>
            <w:r>
              <w:rPr/>
              <w:t>11,628</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3560" w:type="dxa"/>
            <w:tcBorders/>
            <w:vAlign w:val="center"/>
          </w:tcPr>
          <w:p>
            <w:pPr>
              <w:pStyle w:val="TableContents"/>
              <w:bidi w:val="0"/>
              <w:spacing w:before="0" w:after="283"/>
              <w:jc w:val="both"/>
              <w:rPr>
                <w:b/>
              </w:rPr>
            </w:pPr>
            <w:r>
              <w:rPr>
                <w:b/>
              </w:rPr>
              <w:t>Total operating lease liabilities</w:t>
            </w:r>
          </w:p>
        </w:tc>
        <w:tc>
          <w:tcPr>
            <w:tcW w:w="60" w:type="dxa"/>
            <w:tcBorders/>
            <w:vAlign w:val="center"/>
          </w:tcPr>
          <w:p>
            <w:pPr>
              <w:pStyle w:val="TableContents"/>
              <w:bidi w:val="0"/>
              <w:spacing w:before="0" w:after="283"/>
              <w:jc w:val="left"/>
              <w:rPr/>
            </w:pPr>
            <w:r>
              <w:rPr/>
              <w:t> </w:t>
            </w:r>
          </w:p>
        </w:tc>
        <w:tc>
          <w:tcPr>
            <w:tcW w:w="114" w:type="dxa"/>
            <w:tcBorders>
              <w:bottom w:val="single" w:sz="12" w:space="0" w:color="000000"/>
            </w:tcBorders>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tcMar>
              <w:bottom w:w="28" w:type="dxa"/>
            </w:tcMar>
            <w:vAlign w:val="center"/>
          </w:tcPr>
          <w:p>
            <w:pPr>
              <w:pStyle w:val="TableContents"/>
              <w:bidi w:val="0"/>
              <w:spacing w:before="0" w:after="283"/>
              <w:jc w:val="right"/>
              <w:rPr>
                <w:b/>
              </w:rPr>
            </w:pPr>
            <w:r>
              <w:rPr>
                <w:b/>
              </w:rPr>
              <w:t>30,771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tcMar>
              <w:bottom w:w="28" w:type="dxa"/>
            </w:tcMar>
            <w:vAlign w:val="center"/>
          </w:tcPr>
          <w:p>
            <w:pPr>
              <w:pStyle w:val="TableContents"/>
              <w:bidi w:val="0"/>
              <w:spacing w:before="0" w:after="283"/>
              <w:jc w:val="right"/>
              <w:rPr>
                <w:b/>
              </w:rPr>
            </w:pPr>
            <w:r>
              <w:rPr>
                <w:b/>
              </w:rPr>
              <w:t>23,845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lease term and discount rate as of December 31, 2025 and June 30, 2026 were as follows: </w:t>
      </w:r>
    </w:p>
    <w:p>
      <w:pPr>
        <w:pStyle w:val="TextBody"/>
        <w:bidi w:val="0"/>
        <w:spacing w:before="0" w:after="0"/>
        <w:ind w:left="0" w:right="0" w:firstLine="360"/>
        <w:jc w:val="both"/>
        <w:rPr>
          <w:caps w:val="false"/>
          <w:smallCaps w:val="false"/>
        </w:rPr>
      </w:pPr>
      <w:r>
        <w:rPr>
          <w:caps w:val="false"/>
          <w:smallCaps w:val="false"/>
        </w:rPr>
        <w:t> </w:t>
      </w:r>
    </w:p>
    <w:tbl>
      <w:tblPr>
        <w:tblW w:w="6414" w:type="dxa"/>
        <w:jc w:val="left"/>
        <w:tblInd w:w="0" w:type="dxa"/>
        <w:tblLayout w:type="fixed"/>
        <w:tblCellMar>
          <w:top w:w="0" w:type="dxa"/>
          <w:left w:w="0" w:type="dxa"/>
          <w:bottom w:w="0" w:type="dxa"/>
          <w:right w:w="0" w:type="dxa"/>
        </w:tblCellMar>
      </w:tblPr>
      <w:tblGrid>
        <w:gridCol w:w="3320"/>
        <w:gridCol w:w="60"/>
        <w:gridCol w:w="83"/>
        <w:gridCol w:w="1391"/>
        <w:gridCol w:w="215"/>
        <w:gridCol w:w="60"/>
        <w:gridCol w:w="60"/>
        <w:gridCol w:w="995"/>
        <w:gridCol w:w="230"/>
      </w:tblGrid>
      <w:tr>
        <w:trPr/>
        <w:tc>
          <w:tcPr>
            <w:tcW w:w="33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 xml:space="preserve">December 31, </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June 30,</w:t>
              <w:br/>
              <w:t>2026</w:t>
            </w:r>
          </w:p>
        </w:tc>
        <w:tc>
          <w:tcPr>
            <w:tcW w:w="23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both"/>
              <w:rPr>
                <w:b/>
              </w:rPr>
            </w:pPr>
            <w:r>
              <w:rPr>
                <w:b/>
              </w:rPr>
              <w:t>Weighted average lease term:</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both"/>
              <w:rPr/>
            </w:pPr>
            <w:r>
              <w:rPr/>
              <w:t>Operating leases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before="0" w:after="283"/>
              <w:jc w:val="right"/>
              <w:rPr/>
            </w:pPr>
            <w:r>
              <w:rPr/>
              <w:t>2.66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2.44 years</w:t>
            </w:r>
          </w:p>
        </w:tc>
        <w:tc>
          <w:tcPr>
            <w:tcW w:w="230"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both"/>
              <w:rPr>
                <w:b/>
              </w:rPr>
            </w:pPr>
            <w:r>
              <w:rPr>
                <w:b/>
              </w:rPr>
              <w:t>Weighted average discount rate:</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91"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ind w:left="0" w:right="0" w:hanging="173"/>
              <w:jc w:val="left"/>
              <w:rPr/>
            </w:pPr>
            <w:r>
              <w:rPr/>
              <w:t> </w:t>
            </w:r>
          </w:p>
        </w:tc>
      </w:tr>
      <w:tr>
        <w:trPr/>
        <w:tc>
          <w:tcPr>
            <w:tcW w:w="3320" w:type="dxa"/>
            <w:tcBorders/>
            <w:shd w:fill="CCEEFF" w:val="clear"/>
            <w:vAlign w:val="center"/>
          </w:tcPr>
          <w:p>
            <w:pPr>
              <w:pStyle w:val="TableContents"/>
              <w:bidi w:val="0"/>
              <w:spacing w:before="0" w:after="283"/>
              <w:jc w:val="both"/>
              <w:rPr/>
            </w:pPr>
            <w:r>
              <w:rPr/>
              <w:t>Operating leases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before="0" w:after="283"/>
              <w:jc w:val="right"/>
              <w:rPr/>
            </w:pPr>
            <w:r>
              <w:rPr/>
              <w:t>2.88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2.92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720" w:right="0" w:firstLine="51"/>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expenses for the six months ended June 30, 2025 and 2026 were as follows: </w:t>
      </w:r>
    </w:p>
    <w:p>
      <w:pPr>
        <w:pStyle w:val="TextBody"/>
        <w:bidi w:val="0"/>
        <w:spacing w:before="0" w:after="0"/>
        <w:ind w:left="0" w:right="0" w:hanging="0"/>
        <w:jc w:val="both"/>
        <w:rPr>
          <w:caps w:val="false"/>
          <w:smallCaps w:val="false"/>
        </w:rPr>
      </w:pPr>
      <w:r>
        <w:rPr>
          <w:caps w:val="false"/>
          <w:smallCaps w:val="false"/>
        </w:rPr>
        <w:t> </w:t>
      </w:r>
    </w:p>
    <w:tbl>
      <w:tblPr>
        <w:tblW w:w="4972" w:type="dxa"/>
        <w:jc w:val="left"/>
        <w:tblInd w:w="0" w:type="dxa"/>
        <w:tblLayout w:type="fixed"/>
        <w:tblCellMar>
          <w:top w:w="0" w:type="dxa"/>
          <w:left w:w="0" w:type="dxa"/>
          <w:bottom w:w="0" w:type="dxa"/>
          <w:right w:w="0" w:type="dxa"/>
        </w:tblCellMar>
      </w:tblPr>
      <w:tblGrid>
        <w:gridCol w:w="2375"/>
        <w:gridCol w:w="100"/>
        <w:gridCol w:w="1136"/>
        <w:gridCol w:w="100"/>
        <w:gridCol w:w="100"/>
        <w:gridCol w:w="100"/>
        <w:gridCol w:w="100"/>
        <w:gridCol w:w="961"/>
      </w:tblGrid>
      <w:tr>
        <w:trPr/>
        <w:tc>
          <w:tcPr>
            <w:tcW w:w="2375" w:type="dxa"/>
            <w:tcBorders/>
            <w:vAlign w:val="center"/>
          </w:tcPr>
          <w:p>
            <w:pPr>
              <w:pStyle w:val="TableContents"/>
              <w:bidi w:val="0"/>
              <w:spacing w:before="0" w:after="283"/>
              <w:jc w:val="left"/>
              <w:rPr/>
            </w:pPr>
            <w:r>
              <w:rPr/>
              <w:t> </w:t>
            </w:r>
          </w:p>
        </w:tc>
        <w:tc>
          <w:tcPr>
            <w:tcW w:w="2597" w:type="dxa"/>
            <w:gridSpan w:val="7"/>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r>
      <w:tr>
        <w:trPr/>
        <w:tc>
          <w:tcPr>
            <w:tcW w:w="2375" w:type="dxa"/>
            <w:tcBorders/>
            <w:vAlign w:val="center"/>
          </w:tcPr>
          <w:p>
            <w:pPr>
              <w:pStyle w:val="TableContents"/>
              <w:bidi w:val="0"/>
              <w:spacing w:before="0" w:after="283"/>
              <w:jc w:val="center"/>
              <w:rPr/>
            </w:pPr>
            <w:r>
              <w:rPr/>
              <w:t> </w:t>
            </w:r>
          </w:p>
        </w:tc>
        <w:tc>
          <w:tcPr>
            <w:tcW w:w="12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jc w:val="left"/>
              <w:rPr/>
            </w:pPr>
            <w:r>
              <w:rPr/>
              <w:t> </w:t>
            </w:r>
          </w:p>
        </w:tc>
        <w:tc>
          <w:tcPr>
            <w:tcW w:w="1261" w:type="dxa"/>
            <w:gridSpan w:val="4"/>
            <w:tcBorders>
              <w:bottom w:val="single" w:sz="12" w:space="0" w:color="000000"/>
            </w:tcBorders>
            <w:tcMar>
              <w:bottom w:w="28" w:type="dxa"/>
            </w:tcMar>
            <w:vAlign w:val="center"/>
          </w:tcPr>
          <w:p>
            <w:pPr>
              <w:pStyle w:val="TableContents"/>
              <w:bidi w:val="0"/>
              <w:spacing w:before="0" w:after="283"/>
              <w:jc w:val="center"/>
              <w:rPr>
                <w:b/>
              </w:rPr>
            </w:pPr>
            <w:r>
              <w:rPr>
                <w:b/>
              </w:rPr>
              <w:t>2026</w:t>
            </w:r>
          </w:p>
        </w:tc>
      </w:tr>
      <w:tr>
        <w:trPr/>
        <w:tc>
          <w:tcPr>
            <w:tcW w:w="2375" w:type="dxa"/>
            <w:tcBorders/>
            <w:vAlign w:val="center"/>
          </w:tcPr>
          <w:p>
            <w:pPr>
              <w:pStyle w:val="TableContents"/>
              <w:bidi w:val="0"/>
              <w:spacing w:before="0" w:after="283"/>
              <w:jc w:val="center"/>
              <w:rPr/>
            </w:pPr>
            <w:r>
              <w:rPr/>
              <w:t> </w:t>
            </w:r>
          </w:p>
        </w:tc>
        <w:tc>
          <w:tcPr>
            <w:tcW w:w="1236" w:type="dxa"/>
            <w:gridSpan w:val="2"/>
            <w:tcBorders/>
            <w:vAlign w:val="center"/>
          </w:tcPr>
          <w:p>
            <w:pPr>
              <w:pStyle w:val="TableContents"/>
              <w:bidi w:val="0"/>
              <w:spacing w:before="0" w:after="283"/>
              <w:jc w:val="center"/>
              <w:rPr>
                <w:b/>
              </w:rPr>
            </w:pPr>
            <w:r>
              <w:rPr>
                <w:b/>
              </w:rPr>
              <w:t>RMB</w:t>
            </w:r>
          </w:p>
        </w:tc>
        <w:tc>
          <w:tcPr>
            <w:tcW w:w="100" w:type="dxa"/>
            <w:tcBorders/>
            <w:vAlign w:val="center"/>
          </w:tcPr>
          <w:p>
            <w:pPr>
              <w:pStyle w:val="TableContents"/>
              <w:bidi w:val="0"/>
              <w:spacing w:before="0" w:after="283"/>
              <w:jc w:val="left"/>
              <w:rPr/>
            </w:pPr>
            <w:r>
              <w:rPr/>
              <w:t> </w:t>
            </w:r>
          </w:p>
        </w:tc>
        <w:tc>
          <w:tcPr>
            <w:tcW w:w="1261" w:type="dxa"/>
            <w:gridSpan w:val="4"/>
            <w:tcBorders/>
            <w:vAlign w:val="center"/>
          </w:tcPr>
          <w:p>
            <w:pPr>
              <w:pStyle w:val="TableContents"/>
              <w:bidi w:val="0"/>
              <w:spacing w:before="0" w:after="283"/>
              <w:jc w:val="center"/>
              <w:rPr>
                <w:b/>
              </w:rPr>
            </w:pPr>
            <w:r>
              <w:rPr>
                <w:b/>
              </w:rPr>
              <w:t>RMB</w:t>
            </w:r>
          </w:p>
        </w:tc>
      </w:tr>
      <w:tr>
        <w:trPr/>
        <w:tc>
          <w:tcPr>
            <w:tcW w:w="2375" w:type="dxa"/>
            <w:tcBorders/>
            <w:shd w:fill="CCEEFF" w:val="clear"/>
            <w:vAlign w:val="center"/>
          </w:tcPr>
          <w:p>
            <w:pPr>
              <w:pStyle w:val="TableContents"/>
              <w:bidi w:val="0"/>
              <w:spacing w:before="0" w:after="283"/>
              <w:jc w:val="left"/>
              <w:rPr/>
            </w:pPr>
            <w:r>
              <w:rPr/>
              <w:t>Operating lease expense</w:t>
            </w:r>
          </w:p>
        </w:tc>
        <w:tc>
          <w:tcPr>
            <w:tcW w:w="100"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12,008</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5,723</w:t>
            </w:r>
          </w:p>
        </w:tc>
      </w:tr>
      <w:tr>
        <w:trPr/>
        <w:tc>
          <w:tcPr>
            <w:tcW w:w="2375" w:type="dxa"/>
            <w:tcBorders/>
            <w:vAlign w:val="center"/>
          </w:tcPr>
          <w:p>
            <w:pPr>
              <w:pStyle w:val="TableContents"/>
              <w:bidi w:val="0"/>
              <w:spacing w:before="0" w:after="283"/>
              <w:jc w:val="left"/>
              <w:rPr/>
            </w:pPr>
            <w:r>
              <w:rPr/>
              <w:t>Short term lease expense</w:t>
            </w:r>
          </w:p>
        </w:tc>
        <w:tc>
          <w:tcPr>
            <w:tcW w:w="100" w:type="dxa"/>
            <w:tcBorders/>
            <w:vAlign w:val="center"/>
          </w:tcPr>
          <w:p>
            <w:pPr>
              <w:pStyle w:val="TableContents"/>
              <w:bidi w:val="0"/>
              <w:spacing w:before="0" w:after="283"/>
              <w:jc w:val="left"/>
              <w:rPr/>
            </w:pPr>
            <w:r>
              <w:rPr/>
              <w:t> </w:t>
            </w:r>
          </w:p>
        </w:tc>
        <w:tc>
          <w:tcPr>
            <w:tcW w:w="1136" w:type="dxa"/>
            <w:tcBorders>
              <w:bottom w:val="single" w:sz="12" w:space="0" w:color="000000"/>
            </w:tcBorders>
            <w:tcMar>
              <w:bottom w:w="28" w:type="dxa"/>
            </w:tcMar>
            <w:vAlign w:val="center"/>
          </w:tcPr>
          <w:p>
            <w:pPr>
              <w:pStyle w:val="TableContents"/>
              <w:bidi w:val="0"/>
              <w:spacing w:before="0" w:after="283"/>
              <w:jc w:val="right"/>
              <w:rPr/>
            </w:pPr>
            <w:r>
              <w:rPr/>
              <w:t>1,998</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bottom w:val="single" w:sz="12" w:space="0" w:color="000000"/>
            </w:tcBorders>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tcMar>
              <w:bottom w:w="28" w:type="dxa"/>
            </w:tcMar>
            <w:vAlign w:val="center"/>
          </w:tcPr>
          <w:p>
            <w:pPr>
              <w:pStyle w:val="TableContents"/>
              <w:bidi w:val="0"/>
              <w:spacing w:before="0" w:after="283"/>
              <w:jc w:val="right"/>
              <w:rPr/>
            </w:pPr>
            <w:r>
              <w:rPr/>
              <w:t>2,091</w:t>
            </w:r>
          </w:p>
        </w:tc>
      </w:tr>
      <w:tr>
        <w:trPr/>
        <w:tc>
          <w:tcPr>
            <w:tcW w:w="2375" w:type="dxa"/>
            <w:tcBorders/>
            <w:shd w:fill="CCEEFF" w:val="clear"/>
            <w:vAlign w:val="center"/>
          </w:tcPr>
          <w:p>
            <w:pPr>
              <w:pStyle w:val="TableContents"/>
              <w:bidi w:val="0"/>
              <w:spacing w:before="0" w:after="283"/>
              <w:jc w:val="left"/>
              <w:rPr/>
            </w:pPr>
            <w:r>
              <w:rPr/>
              <w:t>Total</w:t>
            </w:r>
          </w:p>
        </w:tc>
        <w:tc>
          <w:tcPr>
            <w:tcW w:w="100" w:type="dxa"/>
            <w:tcBorders/>
            <w:shd w:fill="CCEEFF" w:val="clear"/>
            <w:vAlign w:val="center"/>
          </w:tcPr>
          <w:p>
            <w:pPr>
              <w:pStyle w:val="TableContents"/>
              <w:bidi w:val="0"/>
              <w:spacing w:before="0" w:after="283"/>
              <w:jc w:val="left"/>
              <w:rPr/>
            </w:pPr>
            <w:r>
              <w:rPr/>
              <w:t> </w:t>
            </w:r>
          </w:p>
        </w:tc>
        <w:tc>
          <w:tcPr>
            <w:tcW w:w="1136" w:type="dxa"/>
            <w:tcBorders>
              <w:bottom w:val="single" w:sz="12" w:space="0" w:color="000000"/>
            </w:tcBorders>
            <w:shd w:fill="CCEEFF" w:val="clear"/>
            <w:tcMar>
              <w:bottom w:w="28" w:type="dxa"/>
            </w:tcMar>
            <w:vAlign w:val="center"/>
          </w:tcPr>
          <w:p>
            <w:pPr>
              <w:pStyle w:val="TableContents"/>
              <w:bidi w:val="0"/>
              <w:spacing w:before="0" w:after="283"/>
              <w:jc w:val="right"/>
              <w:rPr/>
            </w:pPr>
            <w:r>
              <w:rPr/>
              <w:t>14,006</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shd w:fill="CCEEFF" w:val="clear"/>
            <w:tcMar>
              <w:bottom w:w="28" w:type="dxa"/>
            </w:tcMar>
            <w:vAlign w:val="center"/>
          </w:tcPr>
          <w:p>
            <w:pPr>
              <w:pStyle w:val="TableContents"/>
              <w:bidi w:val="0"/>
              <w:spacing w:before="0" w:after="283"/>
              <w:jc w:val="right"/>
              <w:rPr/>
            </w:pPr>
            <w:r>
              <w:rPr/>
              <w:t>7,814</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of lease liabilities at June 30, 2026:</w:t>
      </w:r>
    </w:p>
    <w:p>
      <w:pPr>
        <w:pStyle w:val="TextBody"/>
        <w:bidi w:val="0"/>
        <w:spacing w:before="0" w:after="0"/>
        <w:ind w:left="720" w:right="0" w:firstLine="51"/>
        <w:jc w:val="both"/>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4670"/>
        <w:gridCol w:w="60"/>
        <w:gridCol w:w="135"/>
        <w:gridCol w:w="1535"/>
        <w:gridCol w:w="75"/>
      </w:tblGrid>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Minimum Lease</w:t>
              <w:br/>
              <w:t>Payment</w:t>
            </w:r>
          </w:p>
        </w:tc>
        <w:tc>
          <w:tcPr>
            <w:tcW w:w="75"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pPr>
            <w:r>
              <w:rPr/>
              <w:t>Years ending June 30:</w:t>
            </w:r>
          </w:p>
        </w:tc>
        <w:tc>
          <w:tcPr>
            <w:tcW w:w="6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2027</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12,801</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pPr>
            <w:r>
              <w:rPr/>
              <w:t>2028</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7,410</w:t>
            </w:r>
          </w:p>
        </w:tc>
        <w:tc>
          <w:tcPr>
            <w:tcW w:w="75"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2029</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3,402</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pPr>
            <w:r>
              <w:rPr/>
              <w:t>2030</w:t>
            </w:r>
          </w:p>
        </w:tc>
        <w:tc>
          <w:tcPr>
            <w:tcW w:w="60" w:type="dxa"/>
            <w:tcBorders/>
            <w:vAlign w:val="center"/>
          </w:tcPr>
          <w:p>
            <w:pPr>
              <w:pStyle w:val="TableContents"/>
              <w:bidi w:val="0"/>
              <w:spacing w:before="0" w:after="283"/>
              <w:jc w:val="left"/>
              <w:rPr/>
            </w:pPr>
            <w:r>
              <w:rPr/>
              <w:t> </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c>
          <w:tcPr>
            <w:tcW w:w="1535" w:type="dxa"/>
            <w:tcBorders>
              <w:bottom w:val="single" w:sz="12" w:space="0" w:color="000000"/>
            </w:tcBorders>
            <w:tcMar>
              <w:bottom w:w="28" w:type="dxa"/>
            </w:tcMar>
            <w:vAlign w:val="center"/>
          </w:tcPr>
          <w:p>
            <w:pPr>
              <w:pStyle w:val="TableContents"/>
              <w:bidi w:val="0"/>
              <w:spacing w:before="0" w:after="283"/>
              <w:jc w:val="right"/>
              <w:rPr/>
            </w:pPr>
            <w:r>
              <w:rPr/>
              <w:t>1,176</w:t>
            </w:r>
          </w:p>
        </w:tc>
        <w:tc>
          <w:tcPr>
            <w:tcW w:w="75"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b/>
              </w:rPr>
            </w:pPr>
            <w:r>
              <w:rPr>
                <w:b/>
              </w:rPr>
              <w:t>Total remaining undiscounted lease payments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3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24,789</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pPr>
            <w:r>
              <w:rPr/>
              <w:t>Less: Interest</w:t>
            </w:r>
          </w:p>
        </w:tc>
        <w:tc>
          <w:tcPr>
            <w:tcW w:w="60" w:type="dxa"/>
            <w:tcBorders/>
            <w:vAlign w:val="center"/>
          </w:tcPr>
          <w:p>
            <w:pPr>
              <w:pStyle w:val="TableContents"/>
              <w:bidi w:val="0"/>
              <w:spacing w:before="0" w:after="283"/>
              <w:jc w:val="left"/>
              <w:rPr/>
            </w:pPr>
            <w:r>
              <w:rPr/>
              <w:t> </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c>
          <w:tcPr>
            <w:tcW w:w="1535" w:type="dxa"/>
            <w:tcBorders>
              <w:bottom w:val="single" w:sz="12" w:space="0" w:color="000000"/>
            </w:tcBorders>
            <w:tcMar>
              <w:bottom w:w="28" w:type="dxa"/>
            </w:tcMar>
            <w:vAlign w:val="center"/>
          </w:tcPr>
          <w:p>
            <w:pPr>
              <w:pStyle w:val="TableContents"/>
              <w:bidi w:val="0"/>
              <w:spacing w:before="0" w:after="283"/>
              <w:jc w:val="right"/>
              <w:rPr/>
            </w:pPr>
            <w:r>
              <w:rPr/>
              <w:t>944</w:t>
            </w:r>
          </w:p>
        </w:tc>
        <w:tc>
          <w:tcPr>
            <w:tcW w:w="75"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b/>
              </w:rPr>
            </w:pPr>
            <w:r>
              <w:rPr>
                <w:b/>
              </w:rPr>
              <w:t>Total present value of lease liabilities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3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23,845</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pPr>
            <w:r>
              <w:rPr/>
              <w:t>Less: Current operating lease liabilities</w:t>
            </w:r>
          </w:p>
        </w:tc>
        <w:tc>
          <w:tcPr>
            <w:tcW w:w="60" w:type="dxa"/>
            <w:tcBorders/>
            <w:vAlign w:val="center"/>
          </w:tcPr>
          <w:p>
            <w:pPr>
              <w:pStyle w:val="TableContents"/>
              <w:bidi w:val="0"/>
              <w:spacing w:before="0" w:after="283"/>
              <w:jc w:val="left"/>
              <w:rPr/>
            </w:pPr>
            <w:r>
              <w:rPr/>
              <w:t> </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c>
          <w:tcPr>
            <w:tcW w:w="1535" w:type="dxa"/>
            <w:tcBorders>
              <w:bottom w:val="single" w:sz="12" w:space="0" w:color="000000"/>
            </w:tcBorders>
            <w:tcMar>
              <w:bottom w:w="28" w:type="dxa"/>
            </w:tcMar>
            <w:vAlign w:val="center"/>
          </w:tcPr>
          <w:p>
            <w:pPr>
              <w:pStyle w:val="TableContents"/>
              <w:bidi w:val="0"/>
              <w:spacing w:before="0" w:after="283"/>
              <w:jc w:val="right"/>
              <w:rPr/>
            </w:pPr>
            <w:r>
              <w:rPr/>
              <w:t>12,217</w:t>
            </w:r>
          </w:p>
        </w:tc>
        <w:tc>
          <w:tcPr>
            <w:tcW w:w="75"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b/>
              </w:rPr>
            </w:pPr>
            <w:r>
              <w:rPr>
                <w:b/>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35" w:type="dxa"/>
            <w:tcBorders>
              <w:bottom w:val="single" w:sz="12" w:space="0" w:color="000000"/>
            </w:tcBorders>
            <w:shd w:fill="CCEEFF" w:val="clear"/>
            <w:tcMar>
              <w:bottom w:w="28" w:type="dxa"/>
            </w:tcMar>
            <w:vAlign w:val="center"/>
          </w:tcPr>
          <w:p>
            <w:pPr>
              <w:pStyle w:val="TableContents"/>
              <w:bidi w:val="0"/>
              <w:spacing w:before="0" w:after="283"/>
              <w:jc w:val="right"/>
              <w:rPr/>
            </w:pPr>
            <w:r>
              <w:rPr/>
              <w:t>11,628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firstLine="51"/>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Other Payables and Accrued Expenses</w:t>
      </w:r>
    </w:p>
    <w:p>
      <w:pPr>
        <w:pStyle w:val="TextBody"/>
        <w:bidi w:val="0"/>
        <w:spacing w:before="0" w:after="0"/>
        <w:ind w:left="0" w:right="0" w:firstLine="7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Components of other payables and accrued expenses are as follows: </w:t>
      </w:r>
    </w:p>
    <w:p>
      <w:pPr>
        <w:pStyle w:val="TextBody"/>
        <w:bidi w:val="0"/>
        <w:spacing w:before="0" w:after="0"/>
        <w:ind w:left="0" w:right="0" w:firstLine="360"/>
        <w:jc w:val="both"/>
        <w:rPr>
          <w:caps w:val="false"/>
          <w:smallCaps w:val="false"/>
        </w:rPr>
      </w:pPr>
      <w:r>
        <w:rPr>
          <w:caps w:val="false"/>
          <w:smallCaps w:val="false"/>
        </w:rPr>
        <w:t> </w:t>
      </w:r>
    </w:p>
    <w:tbl>
      <w:tblPr>
        <w:tblW w:w="7198" w:type="dxa"/>
        <w:jc w:val="left"/>
        <w:tblInd w:w="0" w:type="dxa"/>
        <w:tblLayout w:type="fixed"/>
        <w:tblCellMar>
          <w:top w:w="0" w:type="dxa"/>
          <w:left w:w="0" w:type="dxa"/>
          <w:bottom w:w="0" w:type="dxa"/>
          <w:right w:w="0" w:type="dxa"/>
        </w:tblCellMar>
      </w:tblPr>
      <w:tblGrid>
        <w:gridCol w:w="4595"/>
        <w:gridCol w:w="60"/>
        <w:gridCol w:w="102"/>
        <w:gridCol w:w="1372"/>
        <w:gridCol w:w="60"/>
        <w:gridCol w:w="60"/>
        <w:gridCol w:w="61"/>
        <w:gridCol w:w="813"/>
        <w:gridCol w:w="75"/>
      </w:tblGrid>
      <w:tr>
        <w:trPr/>
        <w:tc>
          <w:tcPr>
            <w:tcW w:w="45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June 30,</w:t>
              <w:br/>
              <w:t>2026</w:t>
            </w:r>
          </w:p>
        </w:tc>
        <w:tc>
          <w:tcPr>
            <w:tcW w:w="7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ind w:left="0" w:right="0" w:hanging="173"/>
              <w:jc w:val="left"/>
              <w:rPr/>
            </w:pPr>
            <w:r>
              <w:rPr/>
              <w:t> </w:t>
            </w:r>
          </w:p>
        </w:tc>
      </w:tr>
      <w:tr>
        <w:trPr/>
        <w:tc>
          <w:tcPr>
            <w:tcW w:w="4595" w:type="dxa"/>
            <w:tcBorders/>
            <w:shd w:fill="CCEEFF" w:val="clear"/>
            <w:vAlign w:val="center"/>
          </w:tcPr>
          <w:p>
            <w:pPr>
              <w:pStyle w:val="TableContents"/>
              <w:bidi w:val="0"/>
              <w:spacing w:before="0" w:after="283"/>
              <w:jc w:val="both"/>
              <w:rPr/>
            </w:pPr>
            <w:r>
              <w:rPr/>
              <w:t>Business and other tax payables</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49,428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48,957</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4595" w:type="dxa"/>
            <w:tcBorders/>
            <w:vAlign w:val="center"/>
          </w:tcPr>
          <w:p>
            <w:pPr>
              <w:pStyle w:val="TableContents"/>
              <w:bidi w:val="0"/>
              <w:spacing w:before="0" w:after="283"/>
              <w:jc w:val="both"/>
              <w:rPr/>
            </w:pPr>
            <w:r>
              <w:rPr/>
              <w:t>Refundable deposits from employees and agents</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2" w:type="dxa"/>
            <w:tcBorders/>
            <w:vAlign w:val="center"/>
          </w:tcPr>
          <w:p>
            <w:pPr>
              <w:pStyle w:val="TableContents"/>
              <w:bidi w:val="0"/>
              <w:spacing w:before="0" w:after="283"/>
              <w:jc w:val="right"/>
              <w:rPr/>
            </w:pPr>
            <w:r>
              <w:rPr/>
              <w:t>17,577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17,869</w:t>
            </w:r>
          </w:p>
        </w:tc>
        <w:tc>
          <w:tcPr>
            <w:tcW w:w="75" w:type="dxa"/>
            <w:tcBorders/>
            <w:vAlign w:val="center"/>
          </w:tcPr>
          <w:p>
            <w:pPr>
              <w:pStyle w:val="TableContents"/>
              <w:bidi w:val="0"/>
              <w:spacing w:before="0" w:after="283"/>
              <w:ind w:left="0" w:right="0" w:hanging="173"/>
              <w:jc w:val="left"/>
              <w:rPr/>
            </w:pPr>
            <w:r>
              <w:rPr/>
              <w:t> </w:t>
            </w:r>
          </w:p>
        </w:tc>
      </w:tr>
      <w:tr>
        <w:trPr/>
        <w:tc>
          <w:tcPr>
            <w:tcW w:w="4595" w:type="dxa"/>
            <w:tcBorders/>
            <w:shd w:fill="CCEEFF" w:val="clear"/>
            <w:vAlign w:val="center"/>
          </w:tcPr>
          <w:p>
            <w:pPr>
              <w:pStyle w:val="TableContents"/>
              <w:bidi w:val="0"/>
              <w:spacing w:before="0" w:after="283"/>
              <w:jc w:val="both"/>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10,419</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4595" w:type="dxa"/>
            <w:tcBorders/>
            <w:vAlign w:val="center"/>
          </w:tcPr>
          <w:p>
            <w:pPr>
              <w:pStyle w:val="TableContents"/>
              <w:bidi w:val="0"/>
              <w:spacing w:before="0" w:after="283"/>
              <w:jc w:val="both"/>
              <w:rPr/>
            </w:pPr>
            <w:r>
              <w:rPr/>
              <w:t>Accrued expenses to third parties</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2" w:type="dxa"/>
            <w:tcBorders/>
            <w:vAlign w:val="center"/>
          </w:tcPr>
          <w:p>
            <w:pPr>
              <w:pStyle w:val="TableContents"/>
              <w:bidi w:val="0"/>
              <w:spacing w:before="0" w:after="283"/>
              <w:jc w:val="right"/>
              <w:rPr/>
            </w:pPr>
            <w:r>
              <w:rPr/>
              <w:t>37,471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26,499</w:t>
            </w:r>
          </w:p>
        </w:tc>
        <w:tc>
          <w:tcPr>
            <w:tcW w:w="75" w:type="dxa"/>
            <w:tcBorders/>
            <w:vAlign w:val="center"/>
          </w:tcPr>
          <w:p>
            <w:pPr>
              <w:pStyle w:val="TableContents"/>
              <w:bidi w:val="0"/>
              <w:spacing w:before="0" w:after="283"/>
              <w:ind w:left="0" w:right="0" w:hanging="173"/>
              <w:jc w:val="left"/>
              <w:rPr/>
            </w:pPr>
            <w:r>
              <w:rPr/>
              <w:t> </w:t>
            </w:r>
          </w:p>
        </w:tc>
      </w:tr>
      <w:tr>
        <w:trPr/>
        <w:tc>
          <w:tcPr>
            <w:tcW w:w="4595" w:type="dxa"/>
            <w:tcBorders/>
            <w:shd w:fill="CCEEFF" w:val="clear"/>
            <w:vAlign w:val="center"/>
          </w:tcPr>
          <w:p>
            <w:pPr>
              <w:pStyle w:val="TableContents"/>
              <w:bidi w:val="0"/>
              <w:spacing w:before="0" w:after="283"/>
              <w:jc w:val="both"/>
              <w:rPr/>
            </w:pPr>
            <w:r>
              <w:rPr/>
              <w:t>Accrued compensation to staff layoff</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12,132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10,125</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4595" w:type="dxa"/>
            <w:tcBorders/>
            <w:vAlign w:val="center"/>
          </w:tcPr>
          <w:p>
            <w:pPr>
              <w:pStyle w:val="TableContents"/>
              <w:bidi w:val="0"/>
              <w:spacing w:before="0" w:after="283"/>
              <w:jc w:val="both"/>
              <w:rPr/>
            </w:pPr>
            <w:r>
              <w:rPr/>
              <w:t>Payable to third parties(i)</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2" w:type="dxa"/>
            <w:tcBorders/>
            <w:vAlign w:val="center"/>
          </w:tcPr>
          <w:p>
            <w:pPr>
              <w:pStyle w:val="TableContents"/>
              <w:bidi w:val="0"/>
              <w:spacing w:before="0" w:after="283"/>
              <w:jc w:val="right"/>
              <w:rPr/>
            </w:pPr>
            <w:r>
              <w:rPr/>
              <w:t>62,333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20,745</w:t>
            </w:r>
          </w:p>
        </w:tc>
        <w:tc>
          <w:tcPr>
            <w:tcW w:w="7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pPr>
            <w:r>
              <w:rPr/>
              <w:t>Others</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2" w:type="dxa"/>
            <w:tcBorders>
              <w:bottom w:val="single" w:sz="12" w:space="0" w:color="000000"/>
            </w:tcBorders>
            <w:shd w:fill="CCEEFF" w:val="clear"/>
            <w:tcMar>
              <w:bottom w:w="28" w:type="dxa"/>
            </w:tcMar>
            <w:vAlign w:val="center"/>
          </w:tcPr>
          <w:p>
            <w:pPr>
              <w:pStyle w:val="TableContents"/>
              <w:bidi w:val="0"/>
              <w:spacing w:before="0" w:after="283"/>
              <w:jc w:val="right"/>
              <w:rPr/>
            </w:pPr>
            <w:r>
              <w:rPr/>
              <w:t>4,999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center"/>
          </w:tcPr>
          <w:p>
            <w:pPr>
              <w:pStyle w:val="TableContents"/>
              <w:bidi w:val="0"/>
              <w:spacing w:before="0" w:after="283"/>
              <w:jc w:val="right"/>
              <w:rPr/>
            </w:pPr>
            <w:r>
              <w:rPr/>
              <w:t>4,223</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4595" w:type="dxa"/>
            <w:tcBorders/>
            <w:vAlign w:val="center"/>
          </w:tcPr>
          <w:p>
            <w:pPr>
              <w:pStyle w:val="TableContents"/>
              <w:bidi w:val="0"/>
              <w:spacing w:before="0" w:after="283"/>
              <w:jc w:val="both"/>
              <w:rPr/>
            </w:pPr>
            <w:r>
              <w:rPr/>
              <w:t>Total</w:t>
            </w:r>
          </w:p>
        </w:tc>
        <w:tc>
          <w:tcPr>
            <w:tcW w:w="60" w:type="dxa"/>
            <w:tcBorders/>
            <w:vAlign w:val="center"/>
          </w:tcPr>
          <w:p>
            <w:pPr>
              <w:pStyle w:val="TableContents"/>
              <w:bidi w:val="0"/>
              <w:spacing w:before="0" w:after="283"/>
              <w:jc w:val="left"/>
              <w:rPr/>
            </w:pPr>
            <w:r>
              <w:rPr/>
              <w:t> </w:t>
            </w:r>
          </w:p>
        </w:tc>
        <w:tc>
          <w:tcPr>
            <w:tcW w:w="102" w:type="dxa"/>
            <w:tcBorders>
              <w:bottom w:val="single" w:sz="12" w:space="0" w:color="000000"/>
            </w:tcBorders>
            <w:tcMar>
              <w:bottom w:w="28" w:type="dxa"/>
            </w:tcMar>
            <w:vAlign w:val="center"/>
          </w:tcPr>
          <w:p>
            <w:pPr>
              <w:pStyle w:val="TableContents"/>
              <w:bidi w:val="0"/>
              <w:spacing w:before="0" w:after="283"/>
              <w:jc w:val="left"/>
              <w:rPr/>
            </w:pPr>
            <w:r>
              <w:rPr/>
              <w:t> </w:t>
            </w:r>
          </w:p>
        </w:tc>
        <w:tc>
          <w:tcPr>
            <w:tcW w:w="1372" w:type="dxa"/>
            <w:tcBorders>
              <w:bottom w:val="single" w:sz="12" w:space="0" w:color="000000"/>
            </w:tcBorders>
            <w:tcMar>
              <w:bottom w:w="28" w:type="dxa"/>
            </w:tcMar>
            <w:vAlign w:val="center"/>
          </w:tcPr>
          <w:p>
            <w:pPr>
              <w:pStyle w:val="TableContents"/>
              <w:bidi w:val="0"/>
              <w:spacing w:before="0" w:after="283"/>
              <w:jc w:val="right"/>
              <w:rPr/>
            </w:pPr>
            <w:r>
              <w:rPr/>
              <w:t>184,722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bottom w:val="single" w:sz="12" w:space="0" w:color="000000"/>
            </w:tcBorders>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tcMar>
              <w:bottom w:w="28" w:type="dxa"/>
            </w:tcMar>
            <w:vAlign w:val="center"/>
          </w:tcPr>
          <w:p>
            <w:pPr>
              <w:pStyle w:val="TableContents"/>
              <w:bidi w:val="0"/>
              <w:spacing w:before="0" w:after="283"/>
              <w:jc w:val="right"/>
              <w:rPr/>
            </w:pPr>
            <w:r>
              <w:rPr/>
              <w:t>138,837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sz w:val="20"/>
              </w:rPr>
            </w:pPr>
            <w:r>
              <w:rPr>
                <w:sz w:val="20"/>
              </w:rPr>
              <w:t>(i)</w:t>
            </w:r>
          </w:p>
        </w:tc>
        <w:tc>
          <w:tcPr>
            <w:tcW w:w="9961" w:type="dxa"/>
            <w:tcBorders/>
            <w:vAlign w:val="center"/>
          </w:tcPr>
          <w:p>
            <w:pPr>
              <w:pStyle w:val="TableContents"/>
              <w:bidi w:val="0"/>
              <w:spacing w:before="0" w:after="283"/>
              <w:jc w:val="both"/>
              <w:rPr>
                <w:sz w:val="20"/>
              </w:rPr>
            </w:pPr>
            <w:r>
              <w:rPr>
                <w:sz w:val="20"/>
              </w:rPr>
              <w:t>Amount represented payables to divested subsidiaries, which are non-interest-bearing, unsecured and due within one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Short-term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Short-term loans and total outstanding balance as of December 31, 2025 and June 30, 2026 amounted to RMB56,000 and RMB55,941, respectively, which are RMB-denominated borrowings made by the Company’s subsidiaries from financial institutions in mainland China. The Group borrowed nil and nil one-year loans for its general working capital purposes for the six months ended June 30, 2025 and 2026, respectively. </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June 30, 2026, the weighted average interest rates for the outstanding borrowings were approximately 3.50% and 3.5%, respectively, and the unused lines of credit for the short-term loans was nil and nil,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Employee Benefit Plans</w:t>
      </w:r>
    </w:p>
    <w:p>
      <w:pPr>
        <w:pStyle w:val="TextBody"/>
        <w:bidi w:val="0"/>
        <w:spacing w:before="0" w:after="0"/>
        <w:ind w:left="0" w:right="0" w:firstLine="7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of the Group located in the PRC are covered by the retirement schemes defined by local practice and regulations, which are essentially defined contribution plans.</w:t>
      </w:r>
    </w:p>
    <w:p>
      <w:pPr>
        <w:pStyle w:val="TextBody"/>
        <w:bidi w:val="0"/>
        <w:spacing w:before="0" w:after="0"/>
        <w:ind w:left="0" w:right="0" w:firstLine="7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Group is required by law to contribute a certain percentage of applicable salaries for medical insurance benefits, unemployment and other statutory benefits. The contribution percentages may be different from district to district which is subject to the specific requirement of local regime government. The PRC government is directly responsible for the payments of the benefits to these employees.</w:t>
      </w:r>
    </w:p>
    <w:p>
      <w:pPr>
        <w:pStyle w:val="TextBody"/>
        <w:bidi w:val="0"/>
        <w:spacing w:before="0" w:after="0"/>
        <w:ind w:left="0" w:right="0" w:firstLine="7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2025 and 2026, the Group contributed and accrued RMB14,305 and RMB10,353, respectively.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tax exempted company incorporated in the Cayman Islands. Under the current laws of the Cayman Islands, the Company is not subject to tax on its income or capital gains. In addition, upon any payments of dividends by the Company to its shareholders, no Cayman Islands withholding tax is imposed.</w:t>
      </w:r>
    </w:p>
    <w:p>
      <w:pPr>
        <w:pStyle w:val="TextBody"/>
        <w:bidi w:val="0"/>
        <w:spacing w:before="0" w:after="0"/>
        <w:ind w:left="0" w:right="0" w:firstLine="7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Subsidiaries in Hong Kong are subject to Hong Kong Profits Tax rate at 16.5%, and foreign-derived income is exempted from income tax. Under the two-tiered profits tax rates regime, the provision for current income taxes of the subsidiaries operating in Hong Kong has been calculated by applying the current rate of taxation of 8.25% for the six months ended June 30, 2025 and 2026. </w:t>
      </w:r>
    </w:p>
    <w:p>
      <w:pPr>
        <w:pStyle w:val="TextBody"/>
        <w:bidi w:val="0"/>
        <w:spacing w:before="0" w:after="0"/>
        <w:ind w:left="0" w:right="0" w:firstLine="7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Group’s subsidiaries incorporated in the PRC are subject to the PRC Enterprise Income Tax and a unified 25% enterprise income tax rate, except for certain entities that are entitled to preferential tax treatments. </w:t>
      </w:r>
    </w:p>
    <w:p>
      <w:pPr>
        <w:pStyle w:val="TextBody"/>
        <w:bidi w:val="0"/>
        <w:spacing w:before="0" w:after="0"/>
        <w:ind w:left="0" w:right="0" w:firstLine="799"/>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Group’s subsidiaries that are the PRC tax resident are required to withhold the PRC withholding tax of 10% on dividend payment to their non-PRC resident immediate holding company, unless such dividend payment is qualified for the 5% reduced tax rate under the Arrangement between Mainland China and Hong Kong for the Avoidance of Double Taxation and the Prevention of Fiscal Evasion with respect to Taxes on Income (the “PRC-HK DTA”).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One of the Group’s wholly-owned subsidiaries, CNinsure Holdings Limited, was determined by Hong Kong Taxation Bureau to be a Hong Kong resident enterprise since July 2018. The Hong Kong resident certificate was issued by the Hong Kong Inland Revenue Department valid till the year ending December 31, 2026. Accordingly, CNinsure Holdings Limited qualified as a Hong Kong resident and was entitled to enjoy a reduced tax rate of 5% for the dividends paid by PRC subsidiaries for the six months ended June 30, 2025 and 2026 under Bulletin [2018] No. 9 (e.g. beneficial ownership, shareholding percentage and holding period). </w:t>
      </w:r>
    </w:p>
    <w:p>
      <w:pPr>
        <w:pStyle w:val="TextBody"/>
        <w:bidi w:val="0"/>
        <w:spacing w:before="0" w:after="0"/>
        <w:ind w:left="0" w:right="0" w:firstLine="799"/>
        <w:jc w:val="both"/>
        <w:rPr>
          <w:caps w:val="false"/>
          <w:smallCaps w:val="false"/>
        </w:rPr>
      </w:pPr>
      <w:r>
        <w:rPr>
          <w:caps w:val="false"/>
          <w:smallCaps w:val="false"/>
        </w:rPr>
        <w:t> </w:t>
      </w:r>
    </w:p>
    <w:p>
      <w:pPr>
        <w:pStyle w:val="TextBody"/>
        <w:bidi w:val="0"/>
        <w:spacing w:before="0" w:after="0"/>
        <w:ind w:left="0" w:right="0" w:firstLine="799"/>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F-34</w:t>
      </w:r>
    </w:p>
    <w:p>
      <w:pPr>
        <w:pStyle w:val="TextBody"/>
        <w:bidi w:val="0"/>
        <w:spacing w:before="0" w:after="0"/>
        <w:ind w:left="0" w:right="0" w:hanging="0"/>
        <w:jc w:val="left"/>
        <w:rPr/>
      </w:pPr>
      <w:r>
        <w:rPr/>
        <w:t> </w:t>
      </w:r>
    </w:p>
    <w:p>
      <w:pPr>
        <w:pStyle w:val="TextBody"/>
        <w:bidi w:val="0"/>
        <w:spacing w:before="0" w:after="0"/>
        <w:ind w:left="0" w:right="0" w:firstLine="799"/>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uncertain income tax positions by prescribing a minimum recognition threshold in the financial statements. The Group’s liabilities for unrecognized tax benefits were included in other tax liabilities. As of December 31, 2025 and June 30, 2026, the balance of unrecognized tax benefits is comprised of amounts mainly arising from gain on disposal of subsidiaries and certain transfer pricing arrangements.  </w:t>
      </w:r>
    </w:p>
    <w:p>
      <w:pPr>
        <w:pStyle w:val="TextBody"/>
        <w:bidi w:val="0"/>
        <w:spacing w:before="0" w:after="0"/>
        <w:ind w:left="0" w:right="0" w:firstLine="7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movements of unrecognized tax benefits are as follows:</w:t>
      </w:r>
    </w:p>
    <w:p>
      <w:pPr>
        <w:pStyle w:val="TextBody"/>
        <w:bidi w:val="0"/>
        <w:spacing w:before="0" w:after="0"/>
        <w:ind w:left="0" w:right="0" w:firstLine="360"/>
        <w:jc w:val="both"/>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3245"/>
        <w:gridCol w:w="60"/>
        <w:gridCol w:w="60"/>
        <w:gridCol w:w="680"/>
        <w:gridCol w:w="75"/>
      </w:tblGrid>
      <w:tr>
        <w:trPr/>
        <w:tc>
          <w:tcPr>
            <w:tcW w:w="32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ind w:left="0" w:right="0" w:hanging="173"/>
              <w:jc w:val="left"/>
              <w:rPr/>
            </w:pPr>
            <w:r>
              <w:rPr/>
              <w:t> </w:t>
            </w:r>
          </w:p>
        </w:tc>
      </w:tr>
      <w:tr>
        <w:trPr/>
        <w:tc>
          <w:tcPr>
            <w:tcW w:w="3245" w:type="dxa"/>
            <w:tcBorders/>
            <w:shd w:fill="CCEEFF" w:val="clear"/>
            <w:vAlign w:val="center"/>
          </w:tcPr>
          <w:p>
            <w:pPr>
              <w:pStyle w:val="TableContents"/>
              <w:bidi w:val="0"/>
              <w:spacing w:before="0" w:after="283"/>
              <w:jc w:val="both"/>
              <w:rPr/>
            </w:pPr>
            <w:r>
              <w:rPr/>
              <w:t>Balance as of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25,701</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3245" w:type="dxa"/>
            <w:tcBorders/>
            <w:vAlign w:val="center"/>
          </w:tcPr>
          <w:p>
            <w:pPr>
              <w:pStyle w:val="TableContents"/>
              <w:bidi w:val="0"/>
              <w:spacing w:before="0" w:after="283"/>
              <w:jc w:val="both"/>
              <w:rPr/>
            </w:pPr>
            <w:r>
              <w:rPr/>
              <w:t>Decrease in tax positions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ind w:left="0" w:right="0" w:hanging="173"/>
              <w:jc w:val="left"/>
              <w:rPr/>
            </w:pPr>
            <w:r>
              <w:rPr/>
              <w:t> </w:t>
            </w:r>
          </w:p>
        </w:tc>
      </w:tr>
      <w:tr>
        <w:trPr/>
        <w:tc>
          <w:tcPr>
            <w:tcW w:w="3245" w:type="dxa"/>
            <w:tcBorders/>
            <w:shd w:fill="CCEEFF" w:val="clear"/>
            <w:vAlign w:val="center"/>
          </w:tcPr>
          <w:p>
            <w:pPr>
              <w:pStyle w:val="TableContents"/>
              <w:bidi w:val="0"/>
              <w:spacing w:before="0" w:after="283"/>
              <w:jc w:val="both"/>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25,701</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3245" w:type="dxa"/>
            <w:tcBorders/>
            <w:vAlign w:val="center"/>
          </w:tcPr>
          <w:p>
            <w:pPr>
              <w:pStyle w:val="TableContents"/>
              <w:bidi w:val="0"/>
              <w:spacing w:before="0" w:after="283"/>
              <w:jc w:val="both"/>
              <w:rPr/>
            </w:pPr>
            <w:r>
              <w:rPr/>
              <w:t>Decrease in tax positions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ind w:left="0" w:right="0" w:hanging="173"/>
              <w:jc w:val="left"/>
              <w:rPr/>
            </w:pPr>
            <w:r>
              <w:rPr/>
              <w:t> </w:t>
            </w:r>
          </w:p>
        </w:tc>
      </w:tr>
      <w:tr>
        <w:trPr/>
        <w:tc>
          <w:tcPr>
            <w:tcW w:w="3245" w:type="dxa"/>
            <w:tcBorders/>
            <w:shd w:fill="CCEEFF" w:val="clear"/>
            <w:vAlign w:val="center"/>
          </w:tcPr>
          <w:p>
            <w:pPr>
              <w:pStyle w:val="TableContents"/>
              <w:bidi w:val="0"/>
              <w:spacing w:before="0" w:after="283"/>
              <w:jc w:val="both"/>
              <w:rPr/>
            </w:pPr>
            <w:r>
              <w:rPr/>
              <w:t>Balance as of June 30,2026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25,701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uncertain tax positions are related to tax years that remain subject to examination by the relevant tax authorities. Based on the outcome of any future examinations, or as a result of the expiration of statute of limitations for specific jurisdictions, it is reasonably possible that the related unrecognized tax benefits for tax positions taken regarding previously filed tax returns, might materially change from those recorded as liabilities for uncertain tax positions in the Group’s consolidated financial statements. In addition, the outcome of these examinations may impact the valuation of certain deferred tax assets (such as net operating losses) in future periods. The Group’s policy is to recognize interest and penalties accrued on any unrecognized tax benefits, if any, as a component of income tax expense. The Group does not anticipate any significant increases or decreases to its liability for unrecognized tax benefits within the next twelve months.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the PRC Tax Administration and Collection Law, the statute of limitations is three years if the underpayment of income taxes is due to computational errors made by the taxpayer. The statute of limitations will be extended to five years under special circumstances, which are not clearly defined, but an underpayment of income tax liability exceeding RMB100 is specifically listed as a special circumstance. In the case of a transfer pricing related adjustment, the statute of limitations is ten years. There is no statute of limitations in the case of tax evasion.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 are comprised of the following: </w:t>
      </w:r>
    </w:p>
    <w:p>
      <w:pPr>
        <w:pStyle w:val="TextBody"/>
        <w:bidi w:val="0"/>
        <w:spacing w:before="0" w:after="0"/>
        <w:ind w:left="0" w:right="0" w:firstLine="360"/>
        <w:jc w:val="both"/>
        <w:rPr>
          <w:caps w:val="false"/>
          <w:smallCaps w:val="false"/>
        </w:rPr>
      </w:pPr>
      <w:r>
        <w:rPr>
          <w:caps w:val="false"/>
          <w:smallCaps w:val="false"/>
        </w:rPr>
        <w:t> </w:t>
      </w:r>
    </w:p>
    <w:tbl>
      <w:tblPr>
        <w:tblW w:w="4644" w:type="dxa"/>
        <w:jc w:val="left"/>
        <w:tblInd w:w="0" w:type="dxa"/>
        <w:tblLayout w:type="fixed"/>
        <w:tblCellMar>
          <w:top w:w="0" w:type="dxa"/>
          <w:left w:w="0" w:type="dxa"/>
          <w:bottom w:w="0" w:type="dxa"/>
          <w:right w:w="0" w:type="dxa"/>
        </w:tblCellMar>
      </w:tblPr>
      <w:tblGrid>
        <w:gridCol w:w="1925"/>
        <w:gridCol w:w="60"/>
        <w:gridCol w:w="87"/>
        <w:gridCol w:w="1205"/>
        <w:gridCol w:w="87"/>
        <w:gridCol w:w="87"/>
        <w:gridCol w:w="87"/>
        <w:gridCol w:w="1031"/>
        <w:gridCol w:w="75"/>
      </w:tblGrid>
      <w:tr>
        <w:trPr/>
        <w:tc>
          <w:tcPr>
            <w:tcW w:w="19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8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 xml:space="preserve">June 30, </w:t>
            </w:r>
          </w:p>
        </w:tc>
        <w:tc>
          <w:tcPr>
            <w:tcW w:w="7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18"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b/>
              </w:rPr>
              <w:t>2026</w:t>
            </w:r>
          </w:p>
        </w:tc>
        <w:tc>
          <w:tcPr>
            <w:tcW w:w="7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92" w:type="dxa"/>
            <w:gridSpan w:val="2"/>
            <w:tcBorders/>
            <w:vAlign w:val="center"/>
          </w:tcPr>
          <w:p>
            <w:pPr>
              <w:pStyle w:val="TableContents"/>
              <w:bidi w:val="0"/>
              <w:spacing w:before="0" w:after="283"/>
              <w:jc w:val="center"/>
              <w:rPr>
                <w:b/>
              </w:rPr>
            </w:pPr>
            <w:r>
              <w:rPr>
                <w:b/>
              </w:rPr>
              <w:t>RMB</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18"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ind w:left="0" w:right="0" w:hanging="173"/>
              <w:jc w:val="left"/>
              <w:rPr/>
            </w:pPr>
            <w:r>
              <w:rPr/>
              <w:t> </w:t>
            </w:r>
          </w:p>
        </w:tc>
      </w:tr>
      <w:tr>
        <w:trPr/>
        <w:tc>
          <w:tcPr>
            <w:tcW w:w="1925" w:type="dxa"/>
            <w:tcBorders/>
            <w:shd w:fill="CCEEFF" w:val="clear"/>
            <w:vAlign w:val="center"/>
          </w:tcPr>
          <w:p>
            <w:pPr>
              <w:pStyle w:val="TableContents"/>
              <w:bidi w:val="0"/>
              <w:spacing w:before="0" w:after="283"/>
              <w:jc w:val="both"/>
              <w:rPr/>
            </w:pPr>
            <w:r>
              <w:rPr/>
              <w:t>Current tax expense</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19,687</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18,018</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1925" w:type="dxa"/>
            <w:tcBorders/>
            <w:vAlign w:val="center"/>
          </w:tcPr>
          <w:p>
            <w:pPr>
              <w:pStyle w:val="TableContents"/>
              <w:bidi w:val="0"/>
              <w:spacing w:before="0" w:after="283"/>
              <w:jc w:val="both"/>
              <w:rPr/>
            </w:pPr>
            <w:r>
              <w:rPr/>
              <w:t>Deferred tax benefit</w:t>
            </w:r>
          </w:p>
        </w:tc>
        <w:tc>
          <w:tcPr>
            <w:tcW w:w="60" w:type="dxa"/>
            <w:tcBorders/>
            <w:vAlign w:val="center"/>
          </w:tcPr>
          <w:p>
            <w:pPr>
              <w:pStyle w:val="TableContents"/>
              <w:bidi w:val="0"/>
              <w:spacing w:before="0" w:after="283"/>
              <w:jc w:val="left"/>
              <w:rPr/>
            </w:pPr>
            <w:r>
              <w:rPr/>
              <w:t> </w:t>
            </w:r>
          </w:p>
        </w:tc>
        <w:tc>
          <w:tcPr>
            <w:tcW w:w="8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(11,287)</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tcMar>
              <w:bottom w:w="28" w:type="dxa"/>
            </w:tcMar>
            <w:vAlign w:val="center"/>
          </w:tcPr>
          <w:p>
            <w:pPr>
              <w:pStyle w:val="TableContents"/>
              <w:bidi w:val="0"/>
              <w:spacing w:before="0" w:after="283"/>
              <w:jc w:val="right"/>
              <w:rPr/>
            </w:pPr>
            <w:r>
              <w:rPr/>
              <w:t>(9,818)</w:t>
            </w:r>
          </w:p>
        </w:tc>
        <w:tc>
          <w:tcPr>
            <w:tcW w:w="75" w:type="dxa"/>
            <w:tcBorders/>
            <w:vAlign w:val="center"/>
          </w:tcPr>
          <w:p>
            <w:pPr>
              <w:pStyle w:val="TableContents"/>
              <w:bidi w:val="0"/>
              <w:spacing w:before="0" w:after="283"/>
              <w:ind w:left="0" w:right="0" w:hanging="173"/>
              <w:jc w:val="left"/>
              <w:rPr/>
            </w:pPr>
            <w:r>
              <w:rPr/>
              <w:t> </w:t>
            </w:r>
          </w:p>
        </w:tc>
      </w:tr>
      <w:tr>
        <w:trPr/>
        <w:tc>
          <w:tcPr>
            <w:tcW w:w="1925" w:type="dxa"/>
            <w:tcBorders/>
            <w:shd w:fill="CCEEFF" w:val="clear"/>
            <w:vAlign w:val="center"/>
          </w:tcPr>
          <w:p>
            <w:pPr>
              <w:pStyle w:val="TableContents"/>
              <w:bidi w:val="0"/>
              <w:spacing w:before="0" w:after="283"/>
              <w:jc w:val="both"/>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8,400</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shd w:fill="CCEEFF" w:val="clear"/>
            <w:tcMar>
              <w:bottom w:w="28" w:type="dxa"/>
            </w:tcMar>
            <w:vAlign w:val="center"/>
          </w:tcPr>
          <w:p>
            <w:pPr>
              <w:pStyle w:val="TableContents"/>
              <w:bidi w:val="0"/>
              <w:spacing w:before="0" w:after="283"/>
              <w:jc w:val="right"/>
              <w:rPr/>
            </w:pPr>
            <w:r>
              <w:rPr/>
              <w:t>8,200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components of the deferred income tax assets and liabilities are as follows:</w:t>
      </w:r>
    </w:p>
    <w:p>
      <w:pPr>
        <w:pStyle w:val="TextBody"/>
        <w:bidi w:val="0"/>
        <w:spacing w:before="0" w:after="0"/>
        <w:ind w:left="0" w:right="0" w:hanging="0"/>
        <w:jc w:val="both"/>
        <w:rPr>
          <w:caps w:val="false"/>
          <w:smallCaps w:val="false"/>
        </w:rPr>
      </w:pPr>
      <w:r>
        <w:rPr>
          <w:caps w:val="false"/>
          <w:smallCaps w:val="false"/>
        </w:rPr>
        <w:t> </w:t>
      </w:r>
    </w:p>
    <w:tbl>
      <w:tblPr>
        <w:tblW w:w="8169" w:type="dxa"/>
        <w:jc w:val="left"/>
        <w:tblInd w:w="0" w:type="dxa"/>
        <w:tblLayout w:type="fixed"/>
        <w:tblCellMar>
          <w:top w:w="0" w:type="dxa"/>
          <w:left w:w="0" w:type="dxa"/>
          <w:bottom w:w="0" w:type="dxa"/>
          <w:right w:w="0" w:type="dxa"/>
        </w:tblCellMar>
      </w:tblPr>
      <w:tblGrid>
        <w:gridCol w:w="5435"/>
        <w:gridCol w:w="60"/>
        <w:gridCol w:w="93"/>
        <w:gridCol w:w="1381"/>
        <w:gridCol w:w="95"/>
        <w:gridCol w:w="60"/>
        <w:gridCol w:w="60"/>
        <w:gridCol w:w="875"/>
        <w:gridCol w:w="110"/>
      </w:tblGrid>
      <w:tr>
        <w:trPr/>
        <w:tc>
          <w:tcPr>
            <w:tcW w:w="54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June 30,</w:t>
              <w:br/>
              <w:t>2026</w:t>
            </w:r>
          </w:p>
        </w:tc>
        <w:tc>
          <w:tcPr>
            <w:tcW w:w="110"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both"/>
              <w:rPr>
                <w:b/>
              </w:rPr>
            </w:pPr>
            <w:r>
              <w:rPr>
                <w:b/>
              </w:rPr>
              <w:t>Deferred tax assets:</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5435" w:type="dxa"/>
            <w:tcBorders/>
            <w:shd w:fill="CCEEFF" w:val="clear"/>
            <w:vAlign w:val="center"/>
          </w:tcPr>
          <w:p>
            <w:pPr>
              <w:pStyle w:val="TableContents"/>
              <w:bidi w:val="0"/>
              <w:spacing w:before="0" w:after="283"/>
              <w:jc w:val="both"/>
              <w:rPr/>
            </w:pPr>
            <w:r>
              <w:rPr/>
              <w:t>Operating loss carryforward</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357,343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416,236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435" w:type="dxa"/>
            <w:tcBorders/>
            <w:vAlign w:val="center"/>
          </w:tcPr>
          <w:p>
            <w:pPr>
              <w:pStyle w:val="TableContents"/>
              <w:bidi w:val="0"/>
              <w:spacing w:before="0" w:after="283"/>
              <w:jc w:val="both"/>
              <w:rPr/>
            </w:pPr>
            <w:r>
              <w:rPr/>
              <w:t>Intangible assets, net</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427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4,078</w:t>
            </w:r>
          </w:p>
        </w:tc>
        <w:tc>
          <w:tcPr>
            <w:tcW w:w="110" w:type="dxa"/>
            <w:tcBorders/>
            <w:vAlign w:val="center"/>
          </w:tcPr>
          <w:p>
            <w:pPr>
              <w:pStyle w:val="TableContents"/>
              <w:bidi w:val="0"/>
              <w:spacing w:before="0" w:after="283"/>
              <w:ind w:left="0" w:right="0" w:hanging="180"/>
              <w:jc w:val="left"/>
              <w:rPr/>
            </w:pPr>
            <w:r>
              <w:rPr/>
              <w:t> </w:t>
            </w:r>
          </w:p>
        </w:tc>
      </w:tr>
      <w:tr>
        <w:trPr/>
        <w:tc>
          <w:tcPr>
            <w:tcW w:w="5435" w:type="dxa"/>
            <w:tcBorders/>
            <w:shd w:fill="CCEEFF" w:val="clear"/>
            <w:vAlign w:val="center"/>
          </w:tcPr>
          <w:p>
            <w:pPr>
              <w:pStyle w:val="TableContents"/>
              <w:bidi w:val="0"/>
              <w:spacing w:before="0" w:after="283"/>
              <w:jc w:val="both"/>
              <w:rPr/>
            </w:pPr>
            <w:r>
              <w:rPr/>
              <w:t>Litigation accrual</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4,250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435" w:type="dxa"/>
            <w:tcBorders/>
            <w:vAlign w:val="center"/>
          </w:tcPr>
          <w:p>
            <w:pPr>
              <w:pStyle w:val="TableContents"/>
              <w:bidi w:val="0"/>
              <w:spacing w:before="0" w:after="283"/>
              <w:jc w:val="both"/>
              <w:rPr/>
            </w:pPr>
            <w:r>
              <w:rPr/>
              <w:t>Less: valuation allowances</w:t>
            </w:r>
          </w:p>
        </w:tc>
        <w:tc>
          <w:tcPr>
            <w:tcW w:w="60" w:type="dxa"/>
            <w:tcBorders/>
            <w:vAlign w:val="center"/>
          </w:tcPr>
          <w:p>
            <w:pPr>
              <w:pStyle w:val="TableContents"/>
              <w:bidi w:val="0"/>
              <w:spacing w:before="0" w:after="283"/>
              <w:jc w:val="left"/>
              <w:rPr/>
            </w:pPr>
            <w:r>
              <w:rPr/>
              <w:t> </w:t>
            </w:r>
          </w:p>
        </w:tc>
        <w:tc>
          <w:tcPr>
            <w:tcW w:w="9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tcMar>
              <w:bottom w:w="28" w:type="dxa"/>
            </w:tcMar>
            <w:vAlign w:val="center"/>
          </w:tcPr>
          <w:p>
            <w:pPr>
              <w:pStyle w:val="TableContents"/>
              <w:bidi w:val="0"/>
              <w:spacing w:before="0" w:after="283"/>
              <w:jc w:val="right"/>
              <w:rPr/>
            </w:pPr>
            <w:r>
              <w:rPr/>
              <w:t>(348,868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(411,733</w:t>
            </w:r>
          </w:p>
        </w:tc>
        <w:tc>
          <w:tcPr>
            <w:tcW w:w="110" w:type="dxa"/>
            <w:tcBorders/>
            <w:vAlign w:val="center"/>
          </w:tcPr>
          <w:p>
            <w:pPr>
              <w:pStyle w:val="TableContents"/>
              <w:bidi w:val="0"/>
              <w:spacing w:before="0" w:after="283"/>
              <w:ind w:left="0" w:right="0" w:hanging="180"/>
              <w:jc w:val="left"/>
              <w:rPr/>
            </w:pPr>
            <w:r>
              <w:rPr/>
              <w:t>)</w:t>
            </w:r>
          </w:p>
        </w:tc>
      </w:tr>
      <w:tr>
        <w:trPr/>
        <w:tc>
          <w:tcPr>
            <w:tcW w:w="5435"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shd w:fill="CCEEFF" w:val="clear"/>
            <w:tcMar>
              <w:bottom w:w="28" w:type="dxa"/>
            </w:tcMar>
            <w:vAlign w:val="center"/>
          </w:tcPr>
          <w:p>
            <w:pPr>
              <w:pStyle w:val="TableContents"/>
              <w:bidi w:val="0"/>
              <w:spacing w:before="0" w:after="283"/>
              <w:jc w:val="right"/>
              <w:rPr/>
            </w:pPr>
            <w:r>
              <w:rPr/>
              <w:t>8,902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12,831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435" w:type="dxa"/>
            <w:tcBorders/>
            <w:vAlign w:val="center"/>
          </w:tcPr>
          <w:p>
            <w:pPr>
              <w:pStyle w:val="TableContents"/>
              <w:bidi w:val="0"/>
              <w:spacing w:before="0" w:after="283"/>
              <w:jc w:val="both"/>
              <w:rPr>
                <w:b/>
              </w:rPr>
            </w:pPr>
            <w:r>
              <w:rPr>
                <w:b/>
              </w:rPr>
              <w:t>Deferred tax liabilities:</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5435" w:type="dxa"/>
            <w:tcBorders/>
            <w:shd w:fill="CCEEFF" w:val="clear"/>
            <w:vAlign w:val="center"/>
          </w:tcPr>
          <w:p>
            <w:pPr>
              <w:pStyle w:val="TableContents"/>
              <w:bidi w:val="0"/>
              <w:spacing w:before="0" w:after="283"/>
              <w:jc w:val="both"/>
              <w:rPr/>
            </w:pPr>
            <w:r>
              <w:rPr/>
              <w:t>Fair value adjustments in relation to equity investments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91,066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91,062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435" w:type="dxa"/>
            <w:tcBorders/>
            <w:vAlign w:val="center"/>
          </w:tcPr>
          <w:p>
            <w:pPr>
              <w:pStyle w:val="TableContents"/>
              <w:bidi w:val="0"/>
              <w:spacing w:before="0" w:after="283"/>
              <w:jc w:val="both"/>
              <w:rPr/>
            </w:pPr>
            <w:r>
              <w:rPr/>
              <w:t>Estimated profit arising from future renewal commissions</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69,422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63,264</w:t>
            </w:r>
          </w:p>
        </w:tc>
        <w:tc>
          <w:tcPr>
            <w:tcW w:w="110" w:type="dxa"/>
            <w:tcBorders/>
            <w:vAlign w:val="center"/>
          </w:tcPr>
          <w:p>
            <w:pPr>
              <w:pStyle w:val="TableContents"/>
              <w:bidi w:val="0"/>
              <w:spacing w:before="0" w:after="283"/>
              <w:ind w:left="0" w:right="0" w:hanging="180"/>
              <w:jc w:val="left"/>
              <w:rPr/>
            </w:pPr>
            <w:r>
              <w:rPr/>
              <w:t> </w:t>
            </w:r>
          </w:p>
        </w:tc>
      </w:tr>
      <w:tr>
        <w:trPr/>
        <w:tc>
          <w:tcPr>
            <w:tcW w:w="5435" w:type="dxa"/>
            <w:tcBorders/>
            <w:shd w:fill="CCEEFF" w:val="clear"/>
            <w:vAlign w:val="center"/>
          </w:tcPr>
          <w:p>
            <w:pPr>
              <w:pStyle w:val="TableContents"/>
              <w:bidi w:val="0"/>
              <w:spacing w:before="0" w:after="283"/>
              <w:jc w:val="both"/>
              <w:rPr/>
            </w:pPr>
            <w:r>
              <w:rPr/>
              <w:t>PRC dividend withholding taxes</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shd w:fill="CCEEFF" w:val="clear"/>
            <w:tcMar>
              <w:bottom w:w="28" w:type="dxa"/>
            </w:tcMar>
            <w:vAlign w:val="center"/>
          </w:tcPr>
          <w:p>
            <w:pPr>
              <w:pStyle w:val="TableContents"/>
              <w:bidi w:val="0"/>
              <w:spacing w:before="0" w:after="283"/>
              <w:jc w:val="right"/>
              <w:rPr/>
            </w:pPr>
            <w:r>
              <w:rPr/>
              <w:t>26,730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26,729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435" w:type="dxa"/>
            <w:tcBorders/>
            <w:vAlign w:val="center"/>
          </w:tcPr>
          <w:p>
            <w:pPr>
              <w:pStyle w:val="TableContents"/>
              <w:bidi w:val="0"/>
              <w:spacing w:before="0" w:after="283"/>
              <w:jc w:val="both"/>
              <w:rPr/>
            </w:pPr>
            <w:r>
              <w:rPr/>
              <w:t>Total</w:t>
            </w:r>
          </w:p>
        </w:tc>
        <w:tc>
          <w:tcPr>
            <w:tcW w:w="60" w:type="dxa"/>
            <w:tcBorders/>
            <w:vAlign w:val="center"/>
          </w:tcPr>
          <w:p>
            <w:pPr>
              <w:pStyle w:val="TableContents"/>
              <w:bidi w:val="0"/>
              <w:spacing w:before="0" w:after="283"/>
              <w:jc w:val="left"/>
              <w:rPr/>
            </w:pPr>
            <w:r>
              <w:rPr/>
              <w:t> </w:t>
            </w:r>
          </w:p>
        </w:tc>
        <w:tc>
          <w:tcPr>
            <w:tcW w:w="9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tcMar>
              <w:bottom w:w="28" w:type="dxa"/>
            </w:tcMar>
            <w:vAlign w:val="center"/>
          </w:tcPr>
          <w:p>
            <w:pPr>
              <w:pStyle w:val="TableContents"/>
              <w:bidi w:val="0"/>
              <w:spacing w:before="0" w:after="283"/>
              <w:jc w:val="right"/>
              <w:rPr/>
            </w:pPr>
            <w:r>
              <w:rPr/>
              <w:t>187,218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181,055</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considers positive and negative evidence to determine whether some portion or all of the deferred tax assets will more likely than not be realized. This assessment considers, among other matters, the nature, frequency and severity of recent losses, forecasts of future profitability, the duration of statutory carry forward periods, the Group’s experience with tax attributes expiring unused and tax planning alternatives. Valuation allowances have been established for deferred tax assets based on a more-likely-than-not threshold. The Group’s ability to realize deferred tax assets depends on its ability to generate sufficient taxable income within the carry forward periods provided for in the tax law. The Group has provided RMB55,359 and RMB62,865 valuation allowance for the six months ended June 30, 2025 and 2026,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had total operating loss carry-forwards of RMB1,445,512 and RMB1,664,942 as of December 31, 2025 and June 30, 2026, respectively. As of June 30, 2026, all of the operating loss carry-forwards will expire in the years from 2027 to 2031.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Reconciliation between the provision for income taxes computed by applying the PRC enterprise income rate of 25% to net income before income taxes and income of affiliates, and the actual provision for income taxes is as follows: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89"/>
        <w:gridCol w:w="60"/>
        <w:gridCol w:w="60"/>
        <w:gridCol w:w="875"/>
        <w:gridCol w:w="95"/>
        <w:gridCol w:w="60"/>
        <w:gridCol w:w="60"/>
        <w:gridCol w:w="440"/>
        <w:gridCol w:w="260"/>
        <w:gridCol w:w="60"/>
        <w:gridCol w:w="60"/>
        <w:gridCol w:w="680"/>
        <w:gridCol w:w="95"/>
        <w:gridCol w:w="60"/>
        <w:gridCol w:w="60"/>
        <w:gridCol w:w="515"/>
        <w:gridCol w:w="276"/>
      </w:tblGrid>
      <w:tr>
        <w:trPr/>
        <w:tc>
          <w:tcPr>
            <w:tcW w:w="648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3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276" w:type="dxa"/>
            <w:tcBorders/>
            <w:vAlign w:val="center"/>
          </w:tcPr>
          <w:p>
            <w:pPr>
              <w:pStyle w:val="TableContents"/>
              <w:bidi w:val="0"/>
              <w:spacing w:before="0" w:after="283"/>
              <w:ind w:left="0" w:right="0" w:hanging="180"/>
              <w:jc w:val="left"/>
              <w:rPr/>
            </w:pPr>
            <w:r>
              <w:rPr/>
              <w:t> </w:t>
            </w:r>
          </w:p>
        </w:tc>
      </w:tr>
      <w:tr>
        <w:trPr/>
        <w:tc>
          <w:tcPr>
            <w:tcW w:w="64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590" w:type="dxa"/>
            <w:gridSpan w:val="6"/>
            <w:tcBorders/>
            <w:vAlign w:val="center"/>
          </w:tcPr>
          <w:p>
            <w:pPr>
              <w:pStyle w:val="TableContents"/>
              <w:bidi w:val="0"/>
              <w:spacing w:before="0" w:after="283"/>
              <w:jc w:val="center"/>
              <w:rPr>
                <w:b/>
              </w:rPr>
            </w:pPr>
            <w:r>
              <w:rPr>
                <w:b/>
              </w:rPr>
              <w:t>2025</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0" w:type="dxa"/>
            <w:gridSpan w:val="6"/>
            <w:tcBorders/>
            <w:vAlign w:val="center"/>
          </w:tcPr>
          <w:p>
            <w:pPr>
              <w:pStyle w:val="TableContents"/>
              <w:bidi w:val="0"/>
              <w:spacing w:before="0" w:after="283"/>
              <w:jc w:val="center"/>
              <w:rPr>
                <w:b/>
              </w:rPr>
            </w:pPr>
            <w:r>
              <w:rPr>
                <w:b/>
              </w:rPr>
              <w:t>2026</w:t>
            </w:r>
          </w:p>
        </w:tc>
        <w:tc>
          <w:tcPr>
            <w:tcW w:w="276" w:type="dxa"/>
            <w:tcBorders/>
            <w:vAlign w:val="center"/>
          </w:tcPr>
          <w:p>
            <w:pPr>
              <w:pStyle w:val="TableContents"/>
              <w:bidi w:val="0"/>
              <w:spacing w:before="0" w:after="283"/>
              <w:ind w:left="0" w:right="0" w:hanging="180"/>
              <w:jc w:val="center"/>
              <w:rPr/>
            </w:pPr>
            <w:r>
              <w:rPr/>
              <w:t> </w:t>
            </w:r>
          </w:p>
        </w:tc>
      </w:tr>
      <w:tr>
        <w:trPr/>
        <w:tc>
          <w:tcPr>
            <w:tcW w:w="64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gridSpan w:val="2"/>
            <w:tcBorders/>
            <w:vAlign w:val="center"/>
          </w:tcPr>
          <w:p>
            <w:pPr>
              <w:pStyle w:val="TableContents"/>
              <w:bidi w:val="0"/>
              <w:spacing w:before="0" w:after="283"/>
              <w:jc w:val="center"/>
              <w:rPr>
                <w:b/>
              </w:rPr>
            </w:pPr>
            <w:r>
              <w:rPr>
                <w:b/>
              </w:rPr>
              <w:t>%</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75" w:type="dxa"/>
            <w:gridSpan w:val="2"/>
            <w:tcBorders/>
            <w:vAlign w:val="center"/>
          </w:tcPr>
          <w:p>
            <w:pPr>
              <w:pStyle w:val="TableContents"/>
              <w:bidi w:val="0"/>
              <w:spacing w:before="0" w:after="283"/>
              <w:jc w:val="center"/>
              <w:rPr>
                <w:b/>
              </w:rPr>
            </w:pPr>
            <w:r>
              <w:rPr>
                <w:b/>
              </w:rPr>
              <w:t>%</w:t>
            </w:r>
          </w:p>
        </w:tc>
        <w:tc>
          <w:tcPr>
            <w:tcW w:w="276" w:type="dxa"/>
            <w:tcBorders/>
            <w:vAlign w:val="center"/>
          </w:tcPr>
          <w:p>
            <w:pPr>
              <w:pStyle w:val="TableContents"/>
              <w:bidi w:val="0"/>
              <w:spacing w:before="0" w:after="283"/>
              <w:ind w:left="0" w:right="0" w:hanging="180"/>
              <w:jc w:val="center"/>
              <w:rPr/>
            </w:pPr>
            <w:r>
              <w:rPr/>
              <w:t> </w:t>
            </w:r>
          </w:p>
        </w:tc>
      </w:tr>
      <w:tr>
        <w:trPr/>
        <w:tc>
          <w:tcPr>
            <w:tcW w:w="6489" w:type="dxa"/>
            <w:tcBorders/>
            <w:shd w:fill="CCEEFF" w:val="clear"/>
            <w:vAlign w:val="center"/>
          </w:tcPr>
          <w:p>
            <w:pPr>
              <w:pStyle w:val="TableContents"/>
              <w:bidi w:val="0"/>
              <w:spacing w:before="0" w:after="283"/>
              <w:jc w:val="left"/>
              <w:rPr/>
            </w:pPr>
            <w:r>
              <w:rPr/>
              <w:t>(Loss) Income from continuing operations before income taxes, share of (loss) income of affiliates,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(464,945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56,276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76" w:type="dxa"/>
            <w:tcBorders/>
            <w:shd w:fill="CCEEFF" w:val="clear"/>
            <w:vAlign w:val="center"/>
          </w:tcPr>
          <w:p>
            <w:pPr>
              <w:pStyle w:val="TableContents"/>
              <w:bidi w:val="0"/>
              <w:spacing w:before="0" w:after="283"/>
              <w:ind w:left="0" w:right="0" w:hanging="180"/>
              <w:jc w:val="left"/>
              <w:rPr/>
            </w:pPr>
            <w:r>
              <w:rPr/>
              <w:t> </w:t>
            </w:r>
          </w:p>
        </w:tc>
      </w:tr>
      <w:tr>
        <w:trPr/>
        <w:tc>
          <w:tcPr>
            <w:tcW w:w="6489" w:type="dxa"/>
            <w:tcBorders/>
            <w:vAlign w:val="center"/>
          </w:tcPr>
          <w:p>
            <w:pPr>
              <w:pStyle w:val="TableContents"/>
              <w:bidi w:val="0"/>
              <w:spacing w:before="0" w:after="283"/>
              <w:jc w:val="left"/>
              <w:rPr>
                <w:sz w:val="20"/>
              </w:rPr>
            </w:pPr>
            <w:r>
              <w:rPr>
                <w:sz w:val="20"/>
              </w:rPr>
              <w:t xml:space="preserve">Computed income tax (benefit) </w:t>
            </w:r>
            <w:r>
              <w:rPr>
                <w:rFonts w:ascii="Times New Roman;Times;Serif" w:hAnsi="Times New Roman;Times;Serif"/>
                <w:sz w:val="20"/>
              </w:rPr>
              <w:t>expense at PRC EIT tax 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(116,236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25.0</w:t>
            </w:r>
          </w:p>
        </w:tc>
        <w:tc>
          <w:tcPr>
            <w:tcW w:w="26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14,069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25.0</w:t>
            </w:r>
          </w:p>
        </w:tc>
        <w:tc>
          <w:tcPr>
            <w:tcW w:w="276" w:type="dxa"/>
            <w:tcBorders/>
            <w:vAlign w:val="center"/>
          </w:tcPr>
          <w:p>
            <w:pPr>
              <w:pStyle w:val="TableContents"/>
              <w:bidi w:val="0"/>
              <w:spacing w:before="0" w:after="283"/>
              <w:ind w:left="0" w:right="0" w:hanging="180"/>
              <w:jc w:val="left"/>
              <w:rPr/>
            </w:pPr>
            <w:r>
              <w:rPr/>
              <w:t>%</w:t>
            </w:r>
          </w:p>
        </w:tc>
      </w:tr>
      <w:tr>
        <w:trPr/>
        <w:tc>
          <w:tcPr>
            <w:tcW w:w="6489" w:type="dxa"/>
            <w:tcBorders/>
            <w:shd w:fill="CCEEFF" w:val="clear"/>
            <w:vAlign w:val="center"/>
          </w:tcPr>
          <w:p>
            <w:pPr>
              <w:pStyle w:val="TableContents"/>
              <w:bidi w:val="0"/>
              <w:spacing w:before="0" w:after="283"/>
              <w:jc w:val="left"/>
              <w:rPr/>
            </w:pPr>
            <w:r>
              <w:rPr/>
              <w:t>Expenses not deductible for tax purposes: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76" w:type="dxa"/>
            <w:tcBorders/>
            <w:shd w:fill="CCEEFF" w:val="clear"/>
            <w:vAlign w:val="center"/>
          </w:tcPr>
          <w:p>
            <w:pPr>
              <w:pStyle w:val="TableContents"/>
              <w:bidi w:val="0"/>
              <w:spacing w:before="0" w:after="283"/>
              <w:ind w:left="0" w:right="0" w:hanging="180"/>
              <w:jc w:val="left"/>
              <w:rPr/>
            </w:pPr>
            <w:r>
              <w:rPr/>
              <w:t> </w:t>
            </w:r>
          </w:p>
        </w:tc>
      </w:tr>
      <w:tr>
        <w:trPr/>
        <w:tc>
          <w:tcPr>
            <w:tcW w:w="6489" w:type="dxa"/>
            <w:tcBorders/>
            <w:vAlign w:val="center"/>
          </w:tcPr>
          <w:p>
            <w:pPr>
              <w:pStyle w:val="TableContents"/>
              <w:bidi w:val="0"/>
              <w:spacing w:before="0" w:after="283"/>
              <w:jc w:val="left"/>
              <w:rPr/>
            </w:pPr>
            <w:r>
              <w:rPr/>
              <w:t>—</w:t>
            </w:r>
            <w:r>
              <w:rPr/>
              <w:t>Entertainment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0.1</w:t>
            </w:r>
          </w:p>
        </w:tc>
        <w:tc>
          <w:tcPr>
            <w:tcW w:w="26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4,741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8.4</w:t>
            </w:r>
          </w:p>
        </w:tc>
        <w:tc>
          <w:tcPr>
            <w:tcW w:w="276" w:type="dxa"/>
            <w:tcBorders/>
            <w:vAlign w:val="center"/>
          </w:tcPr>
          <w:p>
            <w:pPr>
              <w:pStyle w:val="TableContents"/>
              <w:bidi w:val="0"/>
              <w:spacing w:before="0" w:after="283"/>
              <w:ind w:left="0" w:right="0" w:hanging="180"/>
              <w:jc w:val="left"/>
              <w:rPr/>
            </w:pPr>
            <w:r>
              <w:rPr/>
              <w:t>%</w:t>
            </w:r>
          </w:p>
        </w:tc>
      </w:tr>
      <w:tr>
        <w:trPr/>
        <w:tc>
          <w:tcPr>
            <w:tcW w:w="6489" w:type="dxa"/>
            <w:tcBorders/>
            <w:shd w:fill="CCEEFF" w:val="clear"/>
            <w:vAlign w:val="center"/>
          </w:tcPr>
          <w:p>
            <w:pPr>
              <w:pStyle w:val="TableContents"/>
              <w:bidi w:val="0"/>
              <w:spacing w:before="0" w:after="283"/>
              <w:jc w:val="left"/>
              <w:rPr/>
            </w:pPr>
            <w:r>
              <w:rPr/>
              <w:t>—</w:t>
            </w:r>
            <w:r>
              <w:rPr/>
              <w:t>Provision for expected credit losses on financial assets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122,079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26.3</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276" w:type="dxa"/>
            <w:tcBorders/>
            <w:shd w:fill="CCEEFF" w:val="clear"/>
            <w:vAlign w:val="center"/>
          </w:tcPr>
          <w:p>
            <w:pPr>
              <w:pStyle w:val="TableContents"/>
              <w:bidi w:val="0"/>
              <w:spacing w:before="0" w:after="283"/>
              <w:ind w:left="0" w:right="0" w:hanging="180"/>
              <w:jc w:val="left"/>
              <w:rPr/>
            </w:pPr>
            <w:r>
              <w:rPr/>
              <w:t> </w:t>
            </w:r>
          </w:p>
        </w:tc>
      </w:tr>
      <w:tr>
        <w:trPr/>
        <w:tc>
          <w:tcPr>
            <w:tcW w:w="6489" w:type="dxa"/>
            <w:tcBorders/>
            <w:vAlign w:val="center"/>
          </w:tcPr>
          <w:p>
            <w:pPr>
              <w:pStyle w:val="TableContents"/>
              <w:bidi w:val="0"/>
              <w:spacing w:before="0" w:after="283"/>
              <w:jc w:val="left"/>
              <w:rPr/>
            </w:pPr>
            <w:r>
              <w:rPr/>
              <w:t>—</w:t>
            </w:r>
            <w:r>
              <w:rP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418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0.1</w:t>
            </w:r>
          </w:p>
        </w:tc>
        <w:tc>
          <w:tcPr>
            <w:tcW w:w="26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w:t>
            </w:r>
          </w:p>
        </w:tc>
        <w:tc>
          <w:tcPr>
            <w:tcW w:w="276" w:type="dxa"/>
            <w:tcBorders/>
            <w:vAlign w:val="center"/>
          </w:tcPr>
          <w:p>
            <w:pPr>
              <w:pStyle w:val="TableContents"/>
              <w:bidi w:val="0"/>
              <w:spacing w:before="0" w:after="283"/>
              <w:ind w:left="0" w:right="0" w:hanging="180"/>
              <w:jc w:val="left"/>
              <w:rPr/>
            </w:pPr>
            <w:r>
              <w:rPr/>
              <w:t> </w:t>
            </w:r>
          </w:p>
        </w:tc>
      </w:tr>
      <w:tr>
        <w:trPr/>
        <w:tc>
          <w:tcPr>
            <w:tcW w:w="6489" w:type="dxa"/>
            <w:tcBorders/>
            <w:shd w:fill="CCEEFF" w:val="clear"/>
            <w:vAlign w:val="center"/>
          </w:tcPr>
          <w:p>
            <w:pPr>
              <w:pStyle w:val="TableContents"/>
              <w:bidi w:val="0"/>
              <w:spacing w:before="0" w:after="283"/>
              <w:jc w:val="left"/>
              <w:rPr/>
            </w:pPr>
            <w:r>
              <w:rPr/>
              <w:t>Effect of different tax rates of subsidiaries operating in other jurisdictions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12,306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2.6</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2.6</w:t>
            </w:r>
          </w:p>
        </w:tc>
        <w:tc>
          <w:tcPr>
            <w:tcW w:w="276" w:type="dxa"/>
            <w:tcBorders/>
            <w:shd w:fill="CCEEFF" w:val="clear"/>
            <w:vAlign w:val="center"/>
          </w:tcPr>
          <w:p>
            <w:pPr>
              <w:pStyle w:val="TableContents"/>
              <w:bidi w:val="0"/>
              <w:spacing w:before="0" w:after="283"/>
              <w:ind w:left="0" w:right="0" w:hanging="180"/>
              <w:jc w:val="left"/>
              <w:rPr/>
            </w:pPr>
            <w:r>
              <w:rPr/>
              <w:t>%</w:t>
            </w:r>
          </w:p>
        </w:tc>
      </w:tr>
      <w:tr>
        <w:trPr/>
        <w:tc>
          <w:tcPr>
            <w:tcW w:w="6489" w:type="dxa"/>
            <w:tcBorders/>
            <w:vAlign w:val="center"/>
          </w:tcPr>
          <w:p>
            <w:pPr>
              <w:pStyle w:val="TableContents"/>
              <w:bidi w:val="0"/>
              <w:spacing w:before="0" w:after="283"/>
              <w:jc w:val="left"/>
              <w:rPr/>
            </w:pPr>
            <w:r>
              <w:rPr/>
              <w:t>Change in valuation allowance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(2,331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(0.5</w:t>
            </w:r>
          </w:p>
        </w:tc>
        <w:tc>
          <w:tcPr>
            <w:tcW w:w="26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(3,972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(70.1</w:t>
            </w:r>
          </w:p>
        </w:tc>
        <w:tc>
          <w:tcPr>
            <w:tcW w:w="276" w:type="dxa"/>
            <w:tcBorders/>
            <w:vAlign w:val="center"/>
          </w:tcPr>
          <w:p>
            <w:pPr>
              <w:pStyle w:val="TableContents"/>
              <w:bidi w:val="0"/>
              <w:spacing w:before="0" w:after="283"/>
              <w:ind w:left="0" w:right="0" w:hanging="180"/>
              <w:jc w:val="left"/>
              <w:rPr/>
            </w:pPr>
            <w:r>
              <w:rPr/>
              <w:t>)%</w:t>
            </w:r>
          </w:p>
        </w:tc>
      </w:tr>
      <w:tr>
        <w:trPr/>
        <w:tc>
          <w:tcPr>
            <w:tcW w:w="6489" w:type="dxa"/>
            <w:tcBorders/>
            <w:shd w:fill="CCEEFF" w:val="clear"/>
            <w:vAlign w:val="center"/>
          </w:tcPr>
          <w:p>
            <w:pPr>
              <w:pStyle w:val="TableContents"/>
              <w:bidi w:val="0"/>
              <w:spacing w:before="0" w:after="283"/>
              <w:jc w:val="left"/>
              <w:rPr/>
            </w:pPr>
            <w:r>
              <w:rPr/>
              <w:t>Effect of non-taxable (income) loss (ii)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0.0</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76" w:type="dxa"/>
            <w:tcBorders/>
            <w:shd w:fill="CCEEFF" w:val="clear"/>
            <w:vAlign w:val="center"/>
          </w:tcPr>
          <w:p>
            <w:pPr>
              <w:pStyle w:val="TableContents"/>
              <w:bidi w:val="0"/>
              <w:spacing w:before="0" w:after="283"/>
              <w:ind w:left="0" w:right="0" w:hanging="180"/>
              <w:jc w:val="left"/>
              <w:rPr/>
            </w:pPr>
            <w:r>
              <w:rPr/>
              <w:t> </w:t>
            </w:r>
          </w:p>
        </w:tc>
      </w:tr>
      <w:tr>
        <w:trPr/>
        <w:tc>
          <w:tcPr>
            <w:tcW w:w="6489" w:type="dxa"/>
            <w:tcBorders/>
            <w:vAlign w:val="center"/>
          </w:tcPr>
          <w:p>
            <w:pPr>
              <w:pStyle w:val="TableContents"/>
              <w:bidi w:val="0"/>
              <w:spacing w:before="0" w:after="283"/>
              <w:jc w:val="left"/>
              <w:rPr/>
            </w:pPr>
            <w:r>
              <w:rPr/>
              <w:t>Unrecognized tax benefits arising from certain transfer pricing arrangements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0.0</w:t>
            </w:r>
          </w:p>
        </w:tc>
        <w:tc>
          <w:tcPr>
            <w:tcW w:w="26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ind w:left="0" w:right="0" w:hanging="180"/>
              <w:jc w:val="left"/>
              <w:rPr/>
            </w:pPr>
            <w:r>
              <w:rPr/>
              <w:t> </w:t>
            </w:r>
          </w:p>
        </w:tc>
      </w:tr>
      <w:tr>
        <w:trPr/>
        <w:tc>
          <w:tcPr>
            <w:tcW w:w="6489" w:type="dxa"/>
            <w:tcBorders/>
            <w:shd w:fill="CCEEFF" w:val="clear"/>
            <w:vAlign w:val="center"/>
          </w:tcPr>
          <w:p>
            <w:pPr>
              <w:pStyle w:val="TableContents"/>
              <w:bidi w:val="0"/>
              <w:spacing w:before="0" w:after="283"/>
              <w:jc w:val="left"/>
              <w:rPr/>
            </w:pPr>
            <w:r>
              <w:rPr/>
              <w:t>Deferred income tax reverse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(11,447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(2.5</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(6,157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(10.</w:t>
            </w:r>
          </w:p>
        </w:tc>
        <w:tc>
          <w:tcPr>
            <w:tcW w:w="276" w:type="dxa"/>
            <w:tcBorders/>
            <w:shd w:fill="CCEEFF" w:val="clear"/>
            <w:vAlign w:val="center"/>
          </w:tcPr>
          <w:p>
            <w:pPr>
              <w:pStyle w:val="TableContents"/>
              <w:bidi w:val="0"/>
              <w:spacing w:before="0" w:after="283"/>
              <w:ind w:left="0" w:right="0" w:hanging="180"/>
              <w:jc w:val="left"/>
              <w:rPr/>
            </w:pPr>
            <w:r>
              <w:rPr/>
              <w:t>)%</w:t>
            </w:r>
          </w:p>
        </w:tc>
      </w:tr>
      <w:tr>
        <w:trPr/>
        <w:tc>
          <w:tcPr>
            <w:tcW w:w="6489"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3,272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0.7</w:t>
            </w:r>
          </w:p>
        </w:tc>
        <w:tc>
          <w:tcPr>
            <w:tcW w:w="26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pPr>
            <w:r>
              <w:rPr/>
              <w:t>(1,967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(49.1</w:t>
            </w:r>
          </w:p>
        </w:tc>
        <w:tc>
          <w:tcPr>
            <w:tcW w:w="276" w:type="dxa"/>
            <w:tcBorders/>
            <w:vAlign w:val="center"/>
          </w:tcPr>
          <w:p>
            <w:pPr>
              <w:pStyle w:val="TableContents"/>
              <w:bidi w:val="0"/>
              <w:spacing w:before="0" w:after="283"/>
              <w:ind w:left="0" w:right="0" w:hanging="180"/>
              <w:jc w:val="left"/>
              <w:rPr/>
            </w:pPr>
            <w:r>
              <w:rPr/>
              <w:t>)%</w:t>
            </w:r>
          </w:p>
        </w:tc>
      </w:tr>
      <w:tr>
        <w:trPr/>
        <w:tc>
          <w:tcPr>
            <w:tcW w:w="6489"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8,400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8,200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14.6</w:t>
            </w:r>
          </w:p>
        </w:tc>
        <w:tc>
          <w:tcPr>
            <w:tcW w:w="276"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9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sz w:val="20"/>
              </w:rPr>
            </w:pPr>
            <w:r>
              <w:rPr>
                <w:sz w:val="20"/>
              </w:rPr>
              <w:t>(i)</w:t>
            </w:r>
          </w:p>
        </w:tc>
        <w:tc>
          <w:tcPr>
            <w:tcW w:w="9977" w:type="dxa"/>
            <w:tcBorders/>
            <w:vAlign w:val="center"/>
          </w:tcPr>
          <w:p>
            <w:pPr>
              <w:pStyle w:val="TableContents"/>
              <w:bidi w:val="0"/>
              <w:spacing w:before="0" w:after="283"/>
              <w:jc w:val="both"/>
              <w:rPr>
                <w:i/>
                <w:sz w:val="20"/>
              </w:rPr>
            </w:pPr>
            <w:r>
              <w:rPr>
                <w:i/>
                <w:sz w:val="20"/>
              </w:rPr>
              <w:t>Provision for expected credit losses on financial assets for the six months ended June 30, 2025  primarily relating to the expected credit losses of loan receivables.</w:t>
            </w:r>
          </w:p>
        </w:tc>
      </w:tr>
    </w:tbl>
    <w:p>
      <w:pPr>
        <w:pStyle w:val="TextBody"/>
        <w:bidi w:val="0"/>
        <w:spacing w:before="0" w:after="0"/>
        <w:ind w:left="0" w:right="0" w:firstLine="799"/>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entities were to be non-resident for PRC tax purposes, dividends paid to it out of profits earned after January 1, 2008 would be subject to a withholding tax. In the case of dividends paid by PRC subsidiaries, the withholding tax would be 10%, whereas in the case of dividends paid by PRC subsidiaries which are 25% or more directly owned by tax residents in the Hong Kong Special Administrative Region, the withholding tax would be 5%. The Group’s subsidiary, CNinsure Holdings Limited qualified as Hong Kong resident and was entitled to enjoy a 5% reduced tax rate under Bulletin [2018] No. 9 for the years ended December 31, 2021.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Aggregate undistributed earnings of the Group’s subsidiaries in the PRC that are available for distribution to the Group of approximately RMB1,036,638 and RMB1,152,524 as of December 31, 2025 and June 30, 2026 respectively, are considered to be indefinitely reinvested. If those earnings were to be distributed or they were determined to be no longer permanently reinvested, the Group would have to record a deferred tax liability in respect of those undistributed earnings of approximately RMB51,832 and RMB57,626,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accounting principles, a deferred tax liability should be recorded for taxable temporary differences attributable to the excess of financial reporting over tax basis, including those differences attributable to a more-than-50-percent-owned domestic subsidiary. However, recognition is not required in situations where the tax law provides a means by which the reported amount of that investment can be recovered tax-free and the enterprise expects that it will ultimately use that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(15) Capital Structure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Structure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was incorporated in the Cayman Islands on April 10, 2007. The original authorized share capital was US$10,000,000 divided into 10,000,000,000 ordinary shares with a par value of $0.001 per share.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31, 2024, the Company held an extraordinary general meeting (“EGM”) and obtained requisite shareholders’ approval to adopt a dual-class share structure. Under this structure, the authorized share capital was US$10,000,000 divided into (i) 8,000,000,000 Class A Ordinary Shares of a nominal or par value of US$0.001 each and (ii) 2,000,000,000 Class B Ordinary Shares of a nominal or par value of US$0.001 each.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17, 2025, the Company obtained requisite shareholders’ approval to implement a share consolidation, under which every four hundreds authorized issued and unissued shares of par value US$0.001 each were consolidated into one share with a par value of US$0.4 each, effective on May 21, 2025. Immediately following the completion of the Share Consolidation, on May 21, 2025, our authorized share capital was increased to US$4,000,000,000 divided into 10,000,000,000 ordinary shares comprising of (i) 8,000,000,000 Class A ordinary shares of a nominal or par value of US$0.4 each, and (ii) 2,000,000,000 Class B ordinary shares of a nominal or par value of US$0.4 each.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29, 2026, the Company held an extraordinary general meeting (“EGM”) and obtained requisite shareholders’ approval a special resolution that the par value of the issued and unissued class A ordinary shares and class B ordinary shares in the share capital of the Company be reduced from US$0.4 per share to US$0.0001 per share (the “Capital Reduction”), such that, following the Capital Reduction, the authorized share capital of the Company will be US$1,000,000 divided into 10,000,000,000 ordinary shares, comprising of (i) 8,000,000,000 class A ordinary shares of a nominal or par value of US$0.0001 each and (ii) 2,000,000,000 class B ordinary shares of a nominal or par value of US$0.0001 each. The Capital Reduction was subsequently completed and registered in the Cayman Islands on May 13, 2026. The company also obtained requisite shareholders’ approval to implement a reverse stock split (the “Reverse Split”) at a ratio of 1-for-20, effective on June 16, 2026. Upon the Reverse Split becoming effective, every twenty (20) issued and unissued Class A ordinary shares of a par value of US$0.0001 each were consolidated into one Class A ordinary share of a par value of US$0.002, and every twenty (20) issued and unissued Class B ordinary shares of a par value of US$0.0001 were consolidated into one Class B ordinary share of a par value of US$0.002. No fractional shares were issued in connection with the Reverse Split. Any fractional share resulting from the Reverse Split were rounded up to the nearest whole number of shares at the participant level. Immediately following the completion of the Reverse Split, on June 16, 2026, our authorized share capital was increased to US$20,000,000 divided into 10,000,000,000 ordinary shares comprising of (i) 8,000,000,000 Class A ordinary shares of a nominal or par value of US$0.002 each, and (ii) 2,000,000,000 Class B ordinary shares of a nominal or par value of US$0.002 each.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5,925,748 Class A ordinary shares were issued and outstanding. Concurrently, 250,000 Class B ordinary shares were issued and outstanding.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new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9, 2026, the Company issued an aggregate of 5,128,942 Class A ordinary shares, including (i) 4,826,333 Class A ordinary shares to YS Management Company Limited and (ii) 302,610 Class A ordinary shares to Ethereal Group Ltd, as consideration for its acquisition of 100% of the equity interests in Nova Lumina Limited, which holds a premium inventory of dark tea products. The total consideration also included a cash payment of US$22,000 payable to Ethereal, due within 360 days after the closing date.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2025, the Company issued (i) 125,000 Class B ordinary shares, at a price of US$8 per share, for a total consideration of US$1,000, of which 61,250 Class B ordinary shares to Infinew Limited and 63,750 Class B ordinary shares to MAASE Inc., (ii) 500,000 Class A ordinary shares, at a price of $63.12 per share, for a total consideration of US$31,560, to certain investors in relation to a private placement, together with warrants to purchase up to 1,000,000 additional Class A ordinary shares and (iii) 250,000 Class B ordinary shares, at a price of US$8 per share, for a total consideration of US$2,000 to Expansion Group Ltd.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Net (loss) Income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June 30, 2026, there were 35,000 and nil employee share options or non-vested ordinary shares, respectively, which could potentially dilute basic net earnings per share in the future, but which were excluded from the computation of diluted net earnings per share in the periods presented, as their effects would have been anti-dilutive.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basic and diluted net (loss) income per ordinary share is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17"/>
        <w:gridCol w:w="60"/>
        <w:gridCol w:w="60"/>
        <w:gridCol w:w="875"/>
        <w:gridCol w:w="95"/>
        <w:gridCol w:w="60"/>
        <w:gridCol w:w="60"/>
        <w:gridCol w:w="980"/>
        <w:gridCol w:w="95"/>
        <w:gridCol w:w="60"/>
        <w:gridCol w:w="60"/>
        <w:gridCol w:w="980"/>
        <w:gridCol w:w="103"/>
      </w:tblGrid>
      <w:tr>
        <w:trPr/>
        <w:tc>
          <w:tcPr>
            <w:tcW w:w="67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2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03" w:type="dxa"/>
            <w:tcBorders/>
            <w:vAlign w:val="center"/>
          </w:tcPr>
          <w:p>
            <w:pPr>
              <w:pStyle w:val="TableContents"/>
              <w:bidi w:val="0"/>
              <w:spacing w:before="0" w:after="283"/>
              <w:jc w:val="left"/>
              <w:rPr/>
            </w:pPr>
            <w:r>
              <w:rPr/>
              <w:t> </w:t>
            </w:r>
          </w:p>
        </w:tc>
      </w:tr>
      <w:tr>
        <w:trPr/>
        <w:tc>
          <w:tcPr>
            <w:tcW w:w="67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3" w:type="dxa"/>
            <w:tcBorders/>
            <w:vAlign w:val="center"/>
          </w:tcPr>
          <w:p>
            <w:pPr>
              <w:pStyle w:val="TableContents"/>
              <w:bidi w:val="0"/>
              <w:spacing w:before="0" w:after="283"/>
              <w:jc w:val="left"/>
              <w:rPr/>
            </w:pPr>
            <w:r>
              <w:rPr/>
              <w:t> </w:t>
            </w:r>
          </w:p>
        </w:tc>
      </w:tr>
      <w:tr>
        <w:trPr/>
        <w:tc>
          <w:tcPr>
            <w:tcW w:w="67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w:t>
            </w:r>
          </w:p>
        </w:tc>
        <w:tc>
          <w:tcPr>
            <w:tcW w:w="103" w:type="dxa"/>
            <w:tcBorders/>
            <w:vAlign w:val="center"/>
          </w:tcPr>
          <w:p>
            <w:pPr>
              <w:pStyle w:val="TableContents"/>
              <w:bidi w:val="0"/>
              <w:spacing w:before="0" w:after="283"/>
              <w:jc w:val="left"/>
              <w:rPr/>
            </w:pPr>
            <w:r>
              <w:rPr/>
              <w:t> </w:t>
            </w:r>
          </w:p>
        </w:tc>
      </w:tr>
      <w:tr>
        <w:trPr/>
        <w:tc>
          <w:tcPr>
            <w:tcW w:w="67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180"/>
              <w:jc w:val="left"/>
              <w:rPr/>
            </w:pPr>
            <w:r>
              <w:rPr/>
              <w:t> </w:t>
            </w:r>
          </w:p>
        </w:tc>
      </w:tr>
      <w:tr>
        <w:trPr/>
        <w:tc>
          <w:tcPr>
            <w:tcW w:w="6717" w:type="dxa"/>
            <w:tcBorders/>
            <w:shd w:fill="CCEEFF" w:val="clear"/>
            <w:vAlign w:val="center"/>
          </w:tcPr>
          <w:p>
            <w:pPr>
              <w:pStyle w:val="TableContents"/>
              <w:bidi w:val="0"/>
              <w:spacing w:before="0" w:after="283"/>
              <w:jc w:val="left"/>
              <w:rPr/>
            </w:pPr>
            <w:r>
              <w:rPr/>
              <w:t>Net (loss) income from continuing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(473,345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7,085</w:t>
            </w:r>
          </w:p>
        </w:tc>
        <w:tc>
          <w:tcPr>
            <w:tcW w:w="103" w:type="dxa"/>
            <w:tcBorders/>
            <w:shd w:fill="CCEEFF" w:val="clear"/>
            <w:vAlign w:val="center"/>
          </w:tcPr>
          <w:p>
            <w:pPr>
              <w:pStyle w:val="TableContents"/>
              <w:bidi w:val="0"/>
              <w:spacing w:before="0" w:after="283"/>
              <w:ind w:left="0" w:right="0" w:hanging="180"/>
              <w:jc w:val="left"/>
              <w:rPr/>
            </w:pPr>
            <w:r>
              <w:rPr/>
              <w:t> </w:t>
            </w:r>
          </w:p>
        </w:tc>
      </w:tr>
      <w:tr>
        <w:trPr/>
        <w:tc>
          <w:tcPr>
            <w:tcW w:w="6717" w:type="dxa"/>
            <w:tcBorders/>
            <w:vAlign w:val="center"/>
          </w:tcPr>
          <w:p>
            <w:pPr>
              <w:pStyle w:val="TableContents"/>
              <w:bidi w:val="0"/>
              <w:spacing w:before="0" w:after="283"/>
              <w:jc w:val="left"/>
              <w:rPr/>
            </w:pPr>
            <w:r>
              <w:rPr/>
              <w:t>Less: Net loss attributable to the non-controlling interests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(4,406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(207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(31</w:t>
            </w:r>
          </w:p>
        </w:tc>
        <w:tc>
          <w:tcPr>
            <w:tcW w:w="103" w:type="dxa"/>
            <w:tcBorders/>
            <w:vAlign w:val="center"/>
          </w:tcPr>
          <w:p>
            <w:pPr>
              <w:pStyle w:val="TableContents"/>
              <w:bidi w:val="0"/>
              <w:spacing w:before="0" w:after="283"/>
              <w:ind w:left="0" w:right="0" w:hanging="180"/>
              <w:jc w:val="left"/>
              <w:rPr/>
            </w:pPr>
            <w:r>
              <w:rPr/>
              <w:t>)</w:t>
            </w:r>
          </w:p>
        </w:tc>
      </w:tr>
      <w:tr>
        <w:trPr/>
        <w:tc>
          <w:tcPr>
            <w:tcW w:w="6717" w:type="dxa"/>
            <w:tcBorders/>
            <w:shd w:fill="CCEEFF" w:val="clear"/>
            <w:vAlign w:val="center"/>
          </w:tcPr>
          <w:p>
            <w:pPr>
              <w:pStyle w:val="TableContents"/>
              <w:bidi w:val="0"/>
              <w:spacing w:before="0" w:after="283"/>
              <w:jc w:val="left"/>
              <w:rPr/>
            </w:pPr>
            <w:r>
              <w:rPr/>
              <w:t>Net (loss) gain attributable to owners of the Company from continuing operations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(468,939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48,283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7,116</w:t>
            </w:r>
          </w:p>
        </w:tc>
        <w:tc>
          <w:tcPr>
            <w:tcW w:w="103" w:type="dxa"/>
            <w:tcBorders/>
            <w:shd w:fill="CCEEFF" w:val="clear"/>
            <w:vAlign w:val="center"/>
          </w:tcPr>
          <w:p>
            <w:pPr>
              <w:pStyle w:val="TableContents"/>
              <w:bidi w:val="0"/>
              <w:spacing w:before="0" w:after="283"/>
              <w:ind w:left="0" w:right="0" w:hanging="180"/>
              <w:jc w:val="left"/>
              <w:rPr/>
            </w:pPr>
            <w:r>
              <w:rPr/>
              <w:t> </w:t>
            </w:r>
          </w:p>
        </w:tc>
      </w:tr>
      <w:tr>
        <w:trPr/>
        <w:tc>
          <w:tcPr>
            <w:tcW w:w="6717" w:type="dxa"/>
            <w:tcBorders/>
            <w:vAlign w:val="center"/>
          </w:tcPr>
          <w:p>
            <w:pPr>
              <w:pStyle w:val="TableContents"/>
              <w:bidi w:val="0"/>
              <w:spacing w:before="0" w:after="283"/>
              <w:jc w:val="left"/>
              <w:rPr/>
            </w:pPr>
            <w:r>
              <w:rPr/>
              <w:t>Net gain from discontinued operations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3,230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03" w:type="dxa"/>
            <w:tcBorders/>
            <w:vAlign w:val="center"/>
          </w:tcPr>
          <w:p>
            <w:pPr>
              <w:pStyle w:val="TableContents"/>
              <w:bidi w:val="0"/>
              <w:spacing w:before="0" w:after="283"/>
              <w:ind w:left="0" w:right="0" w:hanging="180"/>
              <w:jc w:val="left"/>
              <w:rPr/>
            </w:pPr>
            <w:r>
              <w:rPr/>
              <w:t> </w:t>
            </w:r>
          </w:p>
        </w:tc>
      </w:tr>
      <w:tr>
        <w:trPr/>
        <w:tc>
          <w:tcPr>
            <w:tcW w:w="6717" w:type="dxa"/>
            <w:tcBorders/>
            <w:shd w:fill="CCEEFF" w:val="clear"/>
            <w:vAlign w:val="center"/>
          </w:tcPr>
          <w:p>
            <w:pPr>
              <w:pStyle w:val="TableContents"/>
              <w:bidi w:val="0"/>
              <w:spacing w:before="0" w:after="283"/>
              <w:jc w:val="left"/>
              <w:rPr/>
            </w:pPr>
            <w:r>
              <w:rPr/>
              <w:t>Less: Net income attributable to the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ind w:left="0" w:right="0" w:hanging="180"/>
              <w:jc w:val="left"/>
              <w:rPr/>
            </w:pPr>
            <w:r>
              <w:rPr/>
              <w:t> </w:t>
            </w:r>
          </w:p>
        </w:tc>
      </w:tr>
      <w:tr>
        <w:trPr/>
        <w:tc>
          <w:tcPr>
            <w:tcW w:w="6717" w:type="dxa"/>
            <w:tcBorders/>
            <w:vAlign w:val="center"/>
          </w:tcPr>
          <w:p>
            <w:pPr>
              <w:pStyle w:val="TableContents"/>
              <w:bidi w:val="0"/>
              <w:spacing w:before="0" w:after="283"/>
              <w:jc w:val="left"/>
              <w:rPr/>
            </w:pPr>
            <w:r>
              <w:rPr/>
              <w:t>Net income attributable to the Company’s shareholders from discontinued operations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3,230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w:t>
            </w:r>
          </w:p>
        </w:tc>
        <w:tc>
          <w:tcPr>
            <w:tcW w:w="103" w:type="dxa"/>
            <w:tcBorders/>
            <w:vAlign w:val="center"/>
          </w:tcPr>
          <w:p>
            <w:pPr>
              <w:pStyle w:val="TableContents"/>
              <w:bidi w:val="0"/>
              <w:spacing w:before="0" w:after="283"/>
              <w:ind w:left="0" w:right="0" w:hanging="180"/>
              <w:jc w:val="left"/>
              <w:rPr/>
            </w:pPr>
            <w:r>
              <w:rPr/>
              <w:t> </w:t>
            </w:r>
          </w:p>
        </w:tc>
      </w:tr>
      <w:tr>
        <w:trPr/>
        <w:tc>
          <w:tcPr>
            <w:tcW w:w="6717" w:type="dxa"/>
            <w:tcBorders/>
            <w:shd w:fill="CCEEFF" w:val="clear"/>
            <w:vAlign w:val="center"/>
          </w:tcPr>
          <w:p>
            <w:pPr>
              <w:pStyle w:val="TableContents"/>
              <w:bidi w:val="0"/>
              <w:spacing w:before="0" w:after="283"/>
              <w:jc w:val="left"/>
              <w:rPr/>
            </w:pPr>
            <w:r>
              <w:rPr/>
              <w:t>Weighted average number of ordinary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274,525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5,920,686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5,920,686</w:t>
            </w:r>
          </w:p>
        </w:tc>
        <w:tc>
          <w:tcPr>
            <w:tcW w:w="103" w:type="dxa"/>
            <w:tcBorders/>
            <w:shd w:fill="CCEEFF" w:val="clear"/>
            <w:vAlign w:val="center"/>
          </w:tcPr>
          <w:p>
            <w:pPr>
              <w:pStyle w:val="TableContents"/>
              <w:bidi w:val="0"/>
              <w:spacing w:before="0" w:after="283"/>
              <w:ind w:left="0" w:right="0" w:hanging="180"/>
              <w:jc w:val="left"/>
              <w:rPr/>
            </w:pPr>
            <w:r>
              <w:rPr/>
              <w:t> </w:t>
            </w:r>
          </w:p>
        </w:tc>
      </w:tr>
      <w:tr>
        <w:trPr/>
        <w:tc>
          <w:tcPr>
            <w:tcW w:w="6717" w:type="dxa"/>
            <w:tcBorders/>
            <w:vAlign w:val="center"/>
          </w:tcPr>
          <w:p>
            <w:pPr>
              <w:pStyle w:val="TableContents"/>
              <w:bidi w:val="0"/>
              <w:spacing w:before="0" w:after="283"/>
              <w:jc w:val="left"/>
              <w:rPr/>
            </w:pPr>
            <w:r>
              <w:rPr/>
              <w:t>Basic and diluted net (loss) income per ordinary share from continuing operations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(1,696.4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w:t>
            </w:r>
          </w:p>
        </w:tc>
        <w:tc>
          <w:tcPr>
            <w:tcW w:w="103" w:type="dxa"/>
            <w:tcBorders/>
            <w:vAlign w:val="center"/>
          </w:tcPr>
          <w:p>
            <w:pPr>
              <w:pStyle w:val="TableContents"/>
              <w:bidi w:val="0"/>
              <w:spacing w:before="0" w:after="283"/>
              <w:ind w:left="0" w:right="0" w:hanging="180"/>
              <w:jc w:val="left"/>
              <w:rPr/>
            </w:pPr>
            <w:r>
              <w:rPr/>
              <w:t> </w:t>
            </w:r>
          </w:p>
        </w:tc>
      </w:tr>
      <w:tr>
        <w:trPr/>
        <w:tc>
          <w:tcPr>
            <w:tcW w:w="6717" w:type="dxa"/>
            <w:tcBorders/>
            <w:shd w:fill="CCEEFF" w:val="clear"/>
            <w:vAlign w:val="center"/>
          </w:tcPr>
          <w:p>
            <w:pPr>
              <w:pStyle w:val="TableContents"/>
              <w:bidi w:val="0"/>
              <w:spacing w:before="0" w:after="283"/>
              <w:jc w:val="left"/>
              <w:rPr/>
            </w:pPr>
            <w:r>
              <w:rPr/>
              <w:t>Basic and diluted net (loss) income per ordinary share  from discontinued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Distribution of Profits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stipulated by the relevant PRC laws and regulations applicable to China’s foreign investment enterprise, the Group’s subsidiaries in the PRC are required to maintain non-distributable reserves which include a statutory surplus reserve as of December 31, 2025 and June 30, 2026. Appropriations to the statutory surplus reserve are required to be made at not less than 10% of individual company’s net profit as reported in the PRC statutory financial statements of the Company’s subsidiaries. The appropriations to statutory surplus reserve are required until the balance reaches 50% of the registered capital of respective subsidiaries.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statutory surplus reserve is used to offset future losses. These reserves represent appropriations of retained earnings determined according to PRC law and may not be distributed. The accumulated amounts contributed to the statutory reserves were RMB343,026 and RMB343,026 as of December 31, 2025 and June 30, 2026,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PRC laws and regulations, there are restrictions on the Company’s PRC subsidiaries with respect to transferring certain of their net assets to the Company either in the form of dividends, loans, or advances. Amounts of restricted net assets include paid in capital and statutory surplus reserve of the Company’s PRC subsidiaries, totaling  RMB1,244,719 and RMB1,244,719 as of December 31, 2025 and June 30, 2026, respectively, which were not eligible to be distributed.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Related-party Balances and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related-party balances as of December 31, 2025 and June 30, 2026, and transactions for the six months ended June 30, 2025 and 2026 are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499"/>
        <w:gridCol w:w="60"/>
        <w:gridCol w:w="6646"/>
      </w:tblGrid>
      <w:tr>
        <w:trPr/>
        <w:tc>
          <w:tcPr>
            <w:tcW w:w="3499" w:type="dxa"/>
            <w:tcBorders>
              <w:bottom w:val="single" w:sz="12" w:space="0" w:color="000000"/>
            </w:tcBorders>
            <w:vAlign w:val="center"/>
          </w:tcPr>
          <w:p>
            <w:pPr>
              <w:pStyle w:val="TableContents"/>
              <w:bidi w:val="0"/>
              <w:spacing w:before="0" w:after="283"/>
              <w:jc w:val="left"/>
              <w:rPr>
                <w:b/>
              </w:rPr>
            </w:pPr>
            <w:r>
              <w:rPr>
                <w:b/>
              </w:rPr>
              <w:t>Name of Related Party</w:t>
            </w:r>
          </w:p>
        </w:tc>
        <w:tc>
          <w:tcPr>
            <w:tcW w:w="60" w:type="dxa"/>
            <w:tcBorders/>
            <w:tcMar>
              <w:bottom w:w="0" w:type="dxa"/>
            </w:tcMar>
            <w:vAlign w:val="center"/>
          </w:tcPr>
          <w:p>
            <w:pPr>
              <w:pStyle w:val="TableContents"/>
              <w:bidi w:val="0"/>
              <w:spacing w:before="0" w:after="283"/>
              <w:jc w:val="center"/>
              <w:rPr/>
            </w:pPr>
            <w:r>
              <w:rPr/>
              <w:t> </w:t>
            </w:r>
          </w:p>
        </w:tc>
        <w:tc>
          <w:tcPr>
            <w:tcW w:w="6646" w:type="dxa"/>
            <w:tcBorders>
              <w:bottom w:val="single" w:sz="12" w:space="0" w:color="000000"/>
            </w:tcBorders>
            <w:vAlign w:val="center"/>
          </w:tcPr>
          <w:p>
            <w:pPr>
              <w:pStyle w:val="TableContents"/>
              <w:bidi w:val="0"/>
              <w:spacing w:before="0" w:after="283"/>
              <w:jc w:val="center"/>
              <w:rPr>
                <w:b/>
              </w:rPr>
            </w:pPr>
            <w:r>
              <w:rPr>
                <w:b/>
              </w:rPr>
              <w:t>Relationship to the Group</w:t>
            </w:r>
          </w:p>
        </w:tc>
      </w:tr>
      <w:tr>
        <w:trPr/>
        <w:tc>
          <w:tcPr>
            <w:tcW w:w="3499" w:type="dxa"/>
            <w:tcBorders/>
            <w:shd w:fill="CCEEFF" w:val="clear"/>
            <w:tcMar>
              <w:bottom w:w="0" w:type="dxa"/>
            </w:tcMar>
            <w:vAlign w:val="center"/>
          </w:tcPr>
          <w:p>
            <w:pPr>
              <w:pStyle w:val="TableContents"/>
              <w:bidi w:val="0"/>
              <w:spacing w:before="0" w:after="283"/>
              <w:jc w:val="left"/>
              <w:rPr/>
            </w:pPr>
            <w:r>
              <w:rPr/>
              <w:t>Maase Inc. (“MAASE”)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46" w:type="dxa"/>
            <w:tcBorders/>
            <w:shd w:fill="CCEEFF" w:val="clear"/>
            <w:tcMar>
              <w:bottom w:w="0" w:type="dxa"/>
            </w:tcMar>
            <w:vAlign w:val="center"/>
          </w:tcPr>
          <w:p>
            <w:pPr>
              <w:pStyle w:val="TableContents"/>
              <w:bidi w:val="0"/>
              <w:spacing w:before="0" w:after="283"/>
              <w:jc w:val="left"/>
              <w:rPr/>
            </w:pPr>
            <w:r>
              <w:rPr/>
              <w:t xml:space="preserve">A shareholder of the Group (formerly known as “Puyi Inc.” and “Highest Performances Holdings Inc.”) </w:t>
            </w:r>
          </w:p>
        </w:tc>
      </w:tr>
      <w:tr>
        <w:trPr/>
        <w:tc>
          <w:tcPr>
            <w:tcW w:w="3499" w:type="dxa"/>
            <w:tcBorders/>
            <w:tcMar>
              <w:bottom w:w="0" w:type="dxa"/>
            </w:tcMar>
            <w:vAlign w:val="center"/>
          </w:tcPr>
          <w:p>
            <w:pPr>
              <w:pStyle w:val="TableContents"/>
              <w:bidi w:val="0"/>
              <w:spacing w:before="0" w:after="283"/>
              <w:jc w:val="left"/>
              <w:rPr/>
            </w:pPr>
            <w:r>
              <w:rPr/>
              <w:t>Chengdu Puyi Bohui Information Technology Co.,</w:t>
            </w:r>
          </w:p>
        </w:tc>
        <w:tc>
          <w:tcPr>
            <w:tcW w:w="60" w:type="dxa"/>
            <w:tcBorders/>
            <w:tcMar>
              <w:bottom w:w="0" w:type="dxa"/>
            </w:tcMar>
            <w:vAlign w:val="center"/>
          </w:tcPr>
          <w:p>
            <w:pPr>
              <w:pStyle w:val="TableContents"/>
              <w:bidi w:val="0"/>
              <w:spacing w:before="0" w:after="283"/>
              <w:jc w:val="left"/>
              <w:rPr/>
            </w:pPr>
            <w:r>
              <w:rPr/>
              <w:t> </w:t>
            </w:r>
          </w:p>
        </w:tc>
        <w:tc>
          <w:tcPr>
            <w:tcW w:w="6646" w:type="dxa"/>
            <w:tcBorders/>
            <w:tcMar>
              <w:bottom w:w="0" w:type="dxa"/>
            </w:tcMar>
            <w:vAlign w:val="center"/>
          </w:tcPr>
          <w:p>
            <w:pPr>
              <w:pStyle w:val="TableContents"/>
              <w:bidi w:val="0"/>
              <w:spacing w:before="0" w:after="283"/>
              <w:jc w:val="left"/>
              <w:rPr/>
            </w:pPr>
            <w:r>
              <w:rPr/>
              <w:t>Controlled by MAASE before September 30,2025</w:t>
            </w:r>
          </w:p>
        </w:tc>
      </w:tr>
      <w:tr>
        <w:trPr/>
        <w:tc>
          <w:tcPr>
            <w:tcW w:w="3499" w:type="dxa"/>
            <w:tcBorders/>
            <w:shd w:fill="CCEEFF" w:val="clear"/>
            <w:tcMar>
              <w:bottom w:w="0" w:type="dxa"/>
            </w:tcMar>
            <w:vAlign w:val="center"/>
          </w:tcPr>
          <w:p>
            <w:pPr>
              <w:pStyle w:val="TableContents"/>
              <w:bidi w:val="0"/>
              <w:spacing w:before="0" w:after="283"/>
              <w:jc w:val="left"/>
              <w:rPr/>
            </w:pPr>
            <w:r>
              <w:rPr/>
              <w:t xml:space="preserve">Puyi Enterprise Management Consulting Co., Ltd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46" w:type="dxa"/>
            <w:tcBorders/>
            <w:shd w:fill="CCEEFF" w:val="clear"/>
            <w:tcMar>
              <w:bottom w:w="0" w:type="dxa"/>
            </w:tcMar>
            <w:vAlign w:val="center"/>
          </w:tcPr>
          <w:p>
            <w:pPr>
              <w:pStyle w:val="TableContents"/>
              <w:bidi w:val="0"/>
              <w:spacing w:before="0" w:after="283"/>
              <w:jc w:val="left"/>
              <w:rPr/>
            </w:pPr>
            <w:r>
              <w:rPr/>
              <w:t>Controlled by MAASE before September 30,2025</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 </w:t>
      </w:r>
    </w:p>
    <w:p>
      <w:pPr>
        <w:pStyle w:val="TextBody"/>
        <w:bidi w:val="0"/>
        <w:spacing w:before="0" w:after="0"/>
        <w:ind w:left="0" w:right="0" w:firstLine="79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90"/>
        <w:gridCol w:w="9910"/>
      </w:tblGrid>
      <w:tr>
        <w:trPr/>
        <w:tc>
          <w:tcPr>
            <w:tcW w:w="10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(i)</w:t>
            </w:r>
          </w:p>
        </w:tc>
        <w:tc>
          <w:tcPr>
            <w:tcW w:w="9910" w:type="dxa"/>
            <w:tcBorders/>
            <w:vAlign w:val="center"/>
          </w:tcPr>
          <w:p>
            <w:pPr>
              <w:pStyle w:val="TableContents"/>
              <w:bidi w:val="0"/>
              <w:spacing w:before="0" w:after="283"/>
              <w:jc w:val="both"/>
              <w:rPr/>
            </w:pPr>
            <w:r>
              <w:rPr/>
              <w:t xml:space="preserve">On December 28, 2020, the Group entered into a framework strategic partnership agreement, or, the “Agreement”, with Puyi Enterprise Management Consulting Co., Ltd (“Puyi Consulting”), which was controlled by MAASE. Pursuant to the Agreement, both parties, on the basis of full compliance with relevant regulatory and legal requirements will share customer and channel resources and explore collaboration opportunities on the provision of value-added asset management services to Chinese households, by leveraging both parties’ respective strength in insurance and financial services. In order to diversify the Group’s services and product offerings, the Group provided referral services of publicly-raised and privately-raised fund products provided by MAASE’s clients, the Group referred MAASE’s financial advisors to their clients and MAASE’s financial advisors will be responsible for providing product information and handling purchasing procedures. For the six months ended June 30, 2025 and 2026, the Group incurred RMB250 and nil referral service fee from MAASE and the balance of account receivable as of June 30, 2026 was nil. </w:t>
            </w:r>
          </w:p>
        </w:tc>
      </w:tr>
    </w:tbl>
    <w:p>
      <w:pPr>
        <w:pStyle w:val="TextBody"/>
        <w:bidi w:val="0"/>
        <w:spacing w:before="0" w:after="0"/>
        <w:ind w:left="0" w:right="0" w:firstLine="79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75"/>
        <w:gridCol w:w="9825"/>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(ii)</w:t>
            </w:r>
          </w:p>
        </w:tc>
        <w:tc>
          <w:tcPr>
            <w:tcW w:w="9825" w:type="dxa"/>
            <w:tcBorders/>
            <w:vAlign w:val="center"/>
          </w:tcPr>
          <w:p>
            <w:pPr>
              <w:pStyle w:val="TableContents"/>
              <w:bidi w:val="0"/>
              <w:spacing w:before="0" w:after="283"/>
              <w:jc w:val="both"/>
              <w:rPr/>
            </w:pPr>
            <w:r>
              <w:rPr/>
              <w:t>For the six months ended June 30, 2026, the Group advanced additional loan of RMB961 to Maase, of which RMB686 was repaid during the period and the outstanding loan receivables from Maase was RMB13,594 as of June 30, 2026.</w:t>
            </w:r>
          </w:p>
        </w:tc>
      </w:tr>
    </w:tbl>
    <w:p>
      <w:pPr>
        <w:pStyle w:val="TextBody"/>
        <w:bidi w:val="0"/>
        <w:spacing w:before="0" w:after="0"/>
        <w:ind w:left="0" w:right="0" w:firstLine="79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325"/>
        <w:gridCol w:w="9775"/>
      </w:tblGrid>
      <w:tr>
        <w:trPr/>
        <w:tc>
          <w:tcPr>
            <w:tcW w:w="10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(iii)</w:t>
            </w:r>
          </w:p>
        </w:tc>
        <w:tc>
          <w:tcPr>
            <w:tcW w:w="9775" w:type="dxa"/>
            <w:tcBorders/>
            <w:vAlign w:val="center"/>
          </w:tcPr>
          <w:p>
            <w:pPr>
              <w:pStyle w:val="TableContents"/>
              <w:bidi w:val="0"/>
              <w:spacing w:before="0" w:after="283"/>
              <w:jc w:val="both"/>
              <w:rPr/>
            </w:pPr>
            <w:r>
              <w:rPr/>
              <w:t>As disclosed in Note (3), in June 2025, the Group disposed of 100% equity interests in Beijing Fanlian Investment Co., Ltd. to Chengdu Puyi Bohui Information Technology Co., Ltd., for a cash consideration of RMB14,260, of which RMB8,000 was repaid in April 2026 and the outstanding receivables was RMB6,260 as of June 30,2026.</w:t>
            </w:r>
          </w:p>
        </w:tc>
      </w:tr>
    </w:tbl>
    <w:p>
      <w:pPr>
        <w:pStyle w:val="TextBody"/>
        <w:bidi w:val="0"/>
        <w:spacing w:before="0" w:after="0"/>
        <w:ind w:left="0" w:right="0" w:firstLine="7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Related-party Balances:</w:t>
      </w:r>
    </w:p>
    <w:p>
      <w:pPr>
        <w:pStyle w:val="TextBody"/>
        <w:bidi w:val="0"/>
        <w:spacing w:before="0" w:after="0"/>
        <w:ind w:left="0" w:right="0" w:firstLine="799"/>
        <w:jc w:val="both"/>
        <w:rPr>
          <w:caps w:val="false"/>
          <w:smallCaps w:val="false"/>
        </w:rPr>
      </w:pPr>
      <w:r>
        <w:rPr>
          <w:caps w:val="false"/>
          <w:smallCaps w:val="false"/>
        </w:rPr>
        <w:t> </w:t>
      </w:r>
    </w:p>
    <w:tbl>
      <w:tblPr>
        <w:tblW w:w="6053" w:type="dxa"/>
        <w:jc w:val="left"/>
        <w:tblInd w:w="0" w:type="dxa"/>
        <w:tblLayout w:type="fixed"/>
        <w:tblCellMar>
          <w:top w:w="0" w:type="dxa"/>
          <w:left w:w="0" w:type="dxa"/>
          <w:bottom w:w="0" w:type="dxa"/>
          <w:right w:w="0" w:type="dxa"/>
        </w:tblCellMar>
      </w:tblPr>
      <w:tblGrid>
        <w:gridCol w:w="3380"/>
        <w:gridCol w:w="60"/>
        <w:gridCol w:w="118"/>
        <w:gridCol w:w="1356"/>
        <w:gridCol w:w="95"/>
        <w:gridCol w:w="60"/>
        <w:gridCol w:w="70"/>
        <w:gridCol w:w="804"/>
        <w:gridCol w:w="110"/>
      </w:tblGrid>
      <w:tr>
        <w:trPr/>
        <w:tc>
          <w:tcPr>
            <w:tcW w:w="3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June 30,</w:t>
              <w:br/>
              <w:t>2026</w:t>
            </w:r>
          </w:p>
        </w:tc>
        <w:tc>
          <w:tcPr>
            <w:tcW w:w="11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b/>
              </w:rPr>
            </w:pPr>
            <w:r>
              <w:rPr>
                <w:b/>
              </w:rPr>
              <w:t>Amount due from related parties</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Maase Inc.(i)</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13,733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13,594</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Less: Allowance for credit loss</w:t>
            </w:r>
          </w:p>
        </w:tc>
        <w:tc>
          <w:tcPr>
            <w:tcW w:w="60" w:type="dxa"/>
            <w:tcBorders/>
            <w:vAlign w:val="center"/>
          </w:tcPr>
          <w:p>
            <w:pPr>
              <w:pStyle w:val="TableContents"/>
              <w:bidi w:val="0"/>
              <w:spacing w:before="0" w:after="283"/>
              <w:jc w:val="left"/>
              <w:rPr/>
            </w:pPr>
            <w:r>
              <w:rPr/>
              <w:t> </w:t>
            </w:r>
          </w:p>
        </w:tc>
        <w:tc>
          <w:tcPr>
            <w:tcW w:w="11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tcMar>
              <w:bottom w:w="28" w:type="dxa"/>
            </w:tcMar>
            <w:vAlign w:val="center"/>
          </w:tcPr>
          <w:p>
            <w:pPr>
              <w:pStyle w:val="TableContents"/>
              <w:bidi w:val="0"/>
              <w:spacing w:before="0" w:after="283"/>
              <w:jc w:val="right"/>
              <w:rPr/>
            </w:pPr>
            <w:r>
              <w:rPr/>
              <w:t>(481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tcMar>
              <w:bottom w:w="28" w:type="dxa"/>
            </w:tcMar>
            <w:vAlign w:val="center"/>
          </w:tcPr>
          <w:p>
            <w:pPr>
              <w:pStyle w:val="TableContents"/>
              <w:bidi w:val="0"/>
              <w:spacing w:before="0" w:after="283"/>
              <w:jc w:val="right"/>
              <w:rPr/>
            </w:pPr>
            <w:r>
              <w:rPr/>
              <w:t>(245</w:t>
            </w:r>
          </w:p>
        </w:tc>
        <w:tc>
          <w:tcPr>
            <w:tcW w:w="110" w:type="dxa"/>
            <w:tcBorders/>
            <w:vAlign w:val="center"/>
          </w:tcPr>
          <w:p>
            <w:pPr>
              <w:pStyle w:val="TableContents"/>
              <w:bidi w:val="0"/>
              <w:spacing w:before="0" w:after="283"/>
              <w:jc w:val="left"/>
              <w:rPr/>
            </w:pPr>
            <w:r>
              <w:rPr/>
              <w:t>)</w:t>
            </w:r>
          </w:p>
        </w:tc>
      </w:tr>
      <w:tr>
        <w:trPr/>
        <w:tc>
          <w:tcPr>
            <w:tcW w:w="338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13,349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9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sz w:val="20"/>
              </w:rPr>
            </w:pPr>
            <w:r>
              <w:rPr>
                <w:sz w:val="20"/>
              </w:rPr>
              <w:t>(i)</w:t>
            </w:r>
          </w:p>
        </w:tc>
        <w:tc>
          <w:tcPr>
            <w:tcW w:w="9980" w:type="dxa"/>
            <w:tcBorders/>
            <w:vAlign w:val="center"/>
          </w:tcPr>
          <w:p>
            <w:pPr>
              <w:pStyle w:val="TableContents"/>
              <w:bidi w:val="0"/>
              <w:spacing w:before="0" w:after="283"/>
              <w:jc w:val="both"/>
              <w:rPr>
                <w:sz w:val="20"/>
              </w:rPr>
            </w:pPr>
            <w:r>
              <w:rPr>
                <w:sz w:val="20"/>
              </w:rPr>
              <w:t>Amount represents unsecured, interest-free loans due from related parties, which are repayable in two years. The loans were provided to supplement MAASE’s working capital.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(19) Commitments and Contingencies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commitments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has entered into operating lease agreements for certain offices. Future minimum lease payments under non-cancellable operating leases with initial terms more than one year are included in Note 10.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total future minimum lease payments under non-cancellable short-term leases, including the agreed property management fee, with respect to the office are payable as follows:</w:t>
      </w:r>
    </w:p>
    <w:p>
      <w:pPr>
        <w:pStyle w:val="TextBody"/>
        <w:bidi w:val="0"/>
        <w:spacing w:before="0" w:after="0"/>
        <w:ind w:left="0" w:right="0" w:hanging="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1325"/>
        <w:gridCol w:w="60"/>
        <w:gridCol w:w="131"/>
        <w:gridCol w:w="1224"/>
        <w:gridCol w:w="75"/>
      </w:tblGrid>
      <w:tr>
        <w:trPr/>
        <w:tc>
          <w:tcPr>
            <w:tcW w:w="13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Lease</w:t>
              <w:br/>
              <w:t>Commitment</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ind w:left="0" w:right="0" w:hanging="173"/>
              <w:jc w:val="left"/>
              <w:rPr/>
            </w:pPr>
            <w:r>
              <w:rPr/>
              <w:t> </w:t>
            </w:r>
          </w:p>
        </w:tc>
      </w:tr>
      <w:tr>
        <w:trPr/>
        <w:tc>
          <w:tcPr>
            <w:tcW w:w="1325" w:type="dxa"/>
            <w:tcBorders/>
            <w:shd w:fill="CCEEFF" w:val="clear"/>
            <w:vAlign w:val="center"/>
          </w:tcPr>
          <w:p>
            <w:pPr>
              <w:pStyle w:val="TableContents"/>
              <w:bidi w:val="0"/>
              <w:spacing w:before="0" w:after="283"/>
              <w:jc w:val="both"/>
              <w:rPr/>
            </w:pPr>
            <w:r>
              <w:rPr/>
              <w:t>Within 1 year</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3,611</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1325" w:type="dxa"/>
            <w:tcBorders/>
            <w:vAlign w:val="center"/>
          </w:tcPr>
          <w:p>
            <w:pPr>
              <w:pStyle w:val="TableContents"/>
              <w:bidi w:val="0"/>
              <w:spacing w:before="0" w:after="283"/>
              <w:jc w:val="both"/>
              <w:rPr/>
            </w:pPr>
            <w:r>
              <w:rPr/>
              <w:t>2-5 years</w:t>
            </w:r>
          </w:p>
        </w:tc>
        <w:tc>
          <w:tcPr>
            <w:tcW w:w="60" w:type="dxa"/>
            <w:tcBorders/>
            <w:vAlign w:val="center"/>
          </w:tcPr>
          <w:p>
            <w:pPr>
              <w:pStyle w:val="TableContents"/>
              <w:bidi w:val="0"/>
              <w:spacing w:before="0" w:after="283"/>
              <w:jc w:val="left"/>
              <w:rPr/>
            </w:pPr>
            <w:r>
              <w:rPr/>
              <w:t> </w:t>
            </w:r>
          </w:p>
        </w:tc>
        <w:tc>
          <w:tcPr>
            <w:tcW w:w="131"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tcMar>
              <w:bottom w:w="28" w:type="dxa"/>
            </w:tcMar>
            <w:vAlign w:val="center"/>
          </w:tcPr>
          <w:p>
            <w:pPr>
              <w:pStyle w:val="TableContents"/>
              <w:bidi w:val="0"/>
              <w:spacing w:before="0" w:after="283"/>
              <w:jc w:val="right"/>
              <w:rPr/>
            </w:pPr>
            <w:r>
              <w:rPr/>
              <w:t>1,067</w:t>
            </w:r>
          </w:p>
        </w:tc>
        <w:tc>
          <w:tcPr>
            <w:tcW w:w="75" w:type="dxa"/>
            <w:tcBorders/>
            <w:vAlign w:val="center"/>
          </w:tcPr>
          <w:p>
            <w:pPr>
              <w:pStyle w:val="TableContents"/>
              <w:bidi w:val="0"/>
              <w:spacing w:before="0" w:after="283"/>
              <w:ind w:left="0" w:right="0" w:hanging="173"/>
              <w:jc w:val="left"/>
              <w:rPr/>
            </w:pPr>
            <w:r>
              <w:rPr/>
              <w:t> </w:t>
            </w:r>
          </w:p>
        </w:tc>
      </w:tr>
      <w:tr>
        <w:trPr/>
        <w:tc>
          <w:tcPr>
            <w:tcW w:w="1325" w:type="dxa"/>
            <w:tcBorders/>
            <w:shd w:fill="CCEEFF" w:val="clear"/>
            <w:vAlign w:val="center"/>
          </w:tcPr>
          <w:p>
            <w:pPr>
              <w:pStyle w:val="TableContents"/>
              <w:bidi w:val="0"/>
              <w:spacing w:before="0" w:after="283"/>
              <w:jc w:val="both"/>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4,678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Group may be involved in certain legal proceedings, claims, and other disputes arising from the commercial operations, projects, employees, and other matters which, in general, are subject to uncertainties and in which the outcomes are not predictable. The Group determines whether an estimated loss from a contingency should be accrued by assessing whether a loss is deemed probable and can be reasonably estimated. Although the outcomes of these legal proceedings cannot be predicted, the Group does not believe these actions, in the aggregate, will have a material adverse impact on its financial position, results of operations, or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Concentrations of Credit Risk</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accounting for 10% or more of total net revenues excluding estimated renewal commissions are as follows:</w:t>
      </w:r>
    </w:p>
    <w:p>
      <w:pPr>
        <w:pStyle w:val="TextBody"/>
        <w:bidi w:val="0"/>
        <w:spacing w:before="0" w:after="0"/>
        <w:ind w:left="0" w:right="0" w:firstLine="360"/>
        <w:jc w:val="both"/>
        <w:rPr>
          <w:caps w:val="false"/>
          <w:smallCaps w:val="false"/>
        </w:rPr>
      </w:pPr>
      <w:r>
        <w:rPr>
          <w:caps w:val="false"/>
          <w:smallCaps w:val="false"/>
        </w:rPr>
        <w:t> </w:t>
      </w:r>
    </w:p>
    <w:tbl>
      <w:tblPr>
        <w:tblW w:w="9083" w:type="dxa"/>
        <w:jc w:val="left"/>
        <w:tblInd w:w="0" w:type="dxa"/>
        <w:tblLayout w:type="fixed"/>
        <w:tblCellMar>
          <w:top w:w="0" w:type="dxa"/>
          <w:left w:w="0" w:type="dxa"/>
          <w:bottom w:w="0" w:type="dxa"/>
          <w:right w:w="0" w:type="dxa"/>
        </w:tblCellMar>
      </w:tblPr>
      <w:tblGrid>
        <w:gridCol w:w="4910"/>
        <w:gridCol w:w="60"/>
        <w:gridCol w:w="60"/>
        <w:gridCol w:w="800"/>
        <w:gridCol w:w="60"/>
        <w:gridCol w:w="60"/>
        <w:gridCol w:w="123"/>
        <w:gridCol w:w="916"/>
        <w:gridCol w:w="60"/>
        <w:gridCol w:w="60"/>
        <w:gridCol w:w="60"/>
        <w:gridCol w:w="680"/>
        <w:gridCol w:w="60"/>
        <w:gridCol w:w="60"/>
        <w:gridCol w:w="123"/>
        <w:gridCol w:w="916"/>
        <w:gridCol w:w="75"/>
      </w:tblGrid>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3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sales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sales</w:t>
            </w:r>
          </w:p>
        </w:tc>
        <w:tc>
          <w:tcPr>
            <w:tcW w:w="7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4910" w:type="dxa"/>
            <w:tcBorders/>
            <w:shd w:fill="CCEEFF" w:val="clear"/>
            <w:vAlign w:val="center"/>
          </w:tcPr>
          <w:p>
            <w:pPr>
              <w:pStyle w:val="TableContents"/>
              <w:bidi w:val="0"/>
              <w:spacing w:before="0" w:after="283"/>
              <w:jc w:val="left"/>
              <w:rPr/>
            </w:pPr>
            <w:r>
              <w:rPr/>
              <w:t>Sinatay Life Insurance Co., Ltd. (“Sinatay”)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64,873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10.5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910" w:type="dxa"/>
            <w:tcBorders/>
            <w:vAlign w:val="center"/>
          </w:tcPr>
          <w:p>
            <w:pPr>
              <w:pStyle w:val="TableContents"/>
              <w:bidi w:val="0"/>
              <w:spacing w:before="0" w:after="283"/>
              <w:jc w:val="left"/>
              <w:rPr/>
            </w:pPr>
            <w:r>
              <w:rPr/>
              <w:t>Fanhua RONS Insurance Sales &amp; Service Co., Ltd.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32,086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11.0</w:t>
            </w:r>
          </w:p>
        </w:tc>
        <w:tc>
          <w:tcPr>
            <w:tcW w:w="75" w:type="dxa"/>
            <w:tcBorders/>
            <w:vAlign w:val="center"/>
          </w:tcPr>
          <w:p>
            <w:pPr>
              <w:pStyle w:val="TableContents"/>
              <w:bidi w:val="0"/>
              <w:spacing w:before="0" w:after="283"/>
              <w:ind w:left="0" w:right="0" w:hanging="180"/>
              <w:jc w:val="left"/>
              <w:rPr/>
            </w:pPr>
            <w:r>
              <w:rPr/>
              <w:t> </w:t>
            </w:r>
          </w:p>
        </w:tc>
      </w:tr>
      <w:tr>
        <w:trPr/>
        <w:tc>
          <w:tcPr>
            <w:tcW w:w="4910" w:type="dxa"/>
            <w:tcBorders/>
            <w:shd w:fill="CCEEFF" w:val="clear"/>
            <w:vAlign w:val="center"/>
          </w:tcPr>
          <w:p>
            <w:pPr>
              <w:pStyle w:val="TableContents"/>
              <w:bidi w:val="0"/>
              <w:spacing w:before="0" w:after="283"/>
              <w:jc w:val="left"/>
              <w:rPr/>
            </w:pPr>
            <w:r>
              <w:rPr/>
              <w:t>Aeon Life Insurance Co., Ltd. (“Aeon”).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910" w:type="dxa"/>
            <w:tcBorders/>
            <w:vAlign w:val="center"/>
          </w:tcPr>
          <w:p>
            <w:pPr>
              <w:pStyle w:val="TableContents"/>
              <w:bidi w:val="0"/>
              <w:spacing w:before="0" w:after="283"/>
              <w:jc w:val="left"/>
              <w:rPr/>
            </w:pPr>
            <w:r>
              <w:rPr/>
              <w:t>Ruizhong Life Insurance Co., Ltd.</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bottom w:val="single" w:sz="12" w:space="0" w:color="000000"/>
            </w:tcBorders>
            <w:tcMar>
              <w:bottom w:w="28" w:type="dxa"/>
            </w:tcMar>
            <w:vAlign w:val="center"/>
          </w:tcPr>
          <w:p>
            <w:pPr>
              <w:pStyle w:val="TableContents"/>
              <w:bidi w:val="0"/>
              <w:spacing w:before="0" w:after="283"/>
              <w:jc w:val="left"/>
              <w:rPr/>
            </w:pPr>
            <w:r>
              <w:rPr/>
              <w:t> </w:t>
            </w:r>
          </w:p>
        </w:tc>
        <w:tc>
          <w:tcPr>
            <w:tcW w:w="916"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pPr>
            <w:r>
              <w:rPr/>
              <w:t>30,856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bottom w:val="single" w:sz="12" w:space="0" w:color="000000"/>
            </w:tcBorders>
            <w:tcMar>
              <w:bottom w:w="28" w:type="dxa"/>
            </w:tcMar>
            <w:vAlign w:val="center"/>
          </w:tcPr>
          <w:p>
            <w:pPr>
              <w:pStyle w:val="TableContents"/>
              <w:bidi w:val="0"/>
              <w:spacing w:before="0" w:after="283"/>
              <w:jc w:val="left"/>
              <w:rPr/>
            </w:pPr>
            <w:r>
              <w:rPr/>
              <w:t> </w:t>
            </w:r>
          </w:p>
        </w:tc>
        <w:tc>
          <w:tcPr>
            <w:tcW w:w="916" w:type="dxa"/>
            <w:tcBorders>
              <w:bottom w:val="single" w:sz="12" w:space="0" w:color="000000"/>
            </w:tcBorders>
            <w:tcMar>
              <w:bottom w:w="28" w:type="dxa"/>
            </w:tcMar>
            <w:vAlign w:val="center"/>
          </w:tcPr>
          <w:p>
            <w:pPr>
              <w:pStyle w:val="TableContents"/>
              <w:bidi w:val="0"/>
              <w:spacing w:before="0" w:after="283"/>
              <w:jc w:val="right"/>
              <w:rPr/>
            </w:pPr>
            <w:r>
              <w:rPr/>
              <w:t>10.6</w:t>
            </w:r>
          </w:p>
        </w:tc>
        <w:tc>
          <w:tcPr>
            <w:tcW w:w="75" w:type="dxa"/>
            <w:tcBorders/>
            <w:vAlign w:val="center"/>
          </w:tcPr>
          <w:p>
            <w:pPr>
              <w:pStyle w:val="TableContents"/>
              <w:bidi w:val="0"/>
              <w:spacing w:before="0" w:after="283"/>
              <w:ind w:left="0" w:right="0" w:hanging="180"/>
              <w:jc w:val="left"/>
              <w:rPr/>
            </w:pPr>
            <w:r>
              <w:rPr/>
              <w:t> </w:t>
            </w:r>
          </w:p>
        </w:tc>
      </w:tr>
      <w:tr>
        <w:trPr/>
        <w:tc>
          <w:tcPr>
            <w:tcW w:w="4910" w:type="dxa"/>
            <w:tcBorders/>
            <w:shd w:fill="CCEEFF" w:val="clear"/>
            <w:vAlign w:val="center"/>
          </w:tcPr>
          <w:p>
            <w:pPr>
              <w:pStyle w:val="TableContents"/>
              <w:bidi w:val="0"/>
              <w:spacing w:before="0" w:after="283"/>
              <w:jc w:val="left"/>
              <w:rPr/>
            </w:pPr>
            <w:r>
              <w:rPr/>
              <w:t>Subtotal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108,040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12" w:space="0" w:color="000000"/>
            </w:tcBorders>
            <w:shd w:fill="CCEEFF" w:val="clear"/>
            <w:tcMar>
              <w:bottom w:w="28" w:type="dxa"/>
            </w:tcMar>
            <w:vAlign w:val="center"/>
          </w:tcPr>
          <w:p>
            <w:pPr>
              <w:pStyle w:val="TableContents"/>
              <w:bidi w:val="0"/>
              <w:spacing w:before="0" w:after="283"/>
              <w:jc w:val="right"/>
              <w:rPr/>
            </w:pPr>
            <w:r>
              <w:rPr/>
              <w:t>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93,644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12" w:space="0" w:color="000000"/>
            </w:tcBorders>
            <w:shd w:fill="CCEEFF" w:val="clear"/>
            <w:tcMar>
              <w:bottom w:w="28" w:type="dxa"/>
            </w:tcMar>
            <w:vAlign w:val="center"/>
          </w:tcPr>
          <w:p>
            <w:pPr>
              <w:pStyle w:val="TableContents"/>
              <w:bidi w:val="0"/>
              <w:spacing w:before="0" w:after="283"/>
              <w:jc w:val="right"/>
              <w:rPr/>
            </w:pPr>
            <w:r>
              <w:rPr/>
              <w:t>32.1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170"/>
        <w:gridCol w:w="5075"/>
      </w:tblGrid>
      <w:tr>
        <w:trPr/>
        <w:tc>
          <w:tcPr>
            <w:tcW w:w="170" w:type="dxa"/>
            <w:tcBorders/>
            <w:vAlign w:val="center"/>
          </w:tcPr>
          <w:p>
            <w:pPr>
              <w:pStyle w:val="TableContents"/>
              <w:bidi w:val="0"/>
              <w:spacing w:before="0" w:after="283"/>
              <w:jc w:val="left"/>
              <w:rPr>
                <w:sz w:val="20"/>
              </w:rPr>
            </w:pPr>
            <w:r>
              <w:rPr>
                <w:sz w:val="20"/>
              </w:rPr>
              <w:t>*</w:t>
            </w:r>
          </w:p>
        </w:tc>
        <w:tc>
          <w:tcPr>
            <w:tcW w:w="5075" w:type="dxa"/>
            <w:tcBorders/>
            <w:vAlign w:val="center"/>
          </w:tcPr>
          <w:p>
            <w:pPr>
              <w:pStyle w:val="TableContents"/>
              <w:bidi w:val="0"/>
              <w:spacing w:before="0" w:after="283"/>
              <w:jc w:val="both"/>
              <w:rPr>
                <w:sz w:val="20"/>
              </w:rPr>
            </w:pPr>
            <w:r>
              <w:rPr>
                <w:sz w:val="20"/>
              </w:rPr>
              <w:t>represented less than 10% of total net revenues for the period.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which accounted for 10% or more of gross accounts receivable excluding estimated renewal commissions are as follows:</w:t>
      </w:r>
    </w:p>
    <w:p>
      <w:pPr>
        <w:pStyle w:val="TextBody"/>
        <w:bidi w:val="0"/>
        <w:spacing w:before="0" w:after="0"/>
        <w:ind w:left="0" w:right="0" w:firstLine="360"/>
        <w:jc w:val="both"/>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4910"/>
        <w:gridCol w:w="60"/>
        <w:gridCol w:w="118"/>
        <w:gridCol w:w="1356"/>
        <w:gridCol w:w="60"/>
        <w:gridCol w:w="60"/>
        <w:gridCol w:w="60"/>
        <w:gridCol w:w="440"/>
        <w:gridCol w:w="215"/>
        <w:gridCol w:w="60"/>
        <w:gridCol w:w="70"/>
        <w:gridCol w:w="804"/>
        <w:gridCol w:w="60"/>
        <w:gridCol w:w="60"/>
        <w:gridCol w:w="60"/>
        <w:gridCol w:w="500"/>
        <w:gridCol w:w="230"/>
      </w:tblGrid>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Sinatay</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14,136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20.9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w:t>
            </w:r>
          </w:p>
        </w:tc>
      </w:tr>
      <w:tr>
        <w:trPr/>
        <w:tc>
          <w:tcPr>
            <w:tcW w:w="4910" w:type="dxa"/>
            <w:tcBorders/>
            <w:vAlign w:val="center"/>
          </w:tcPr>
          <w:p>
            <w:pPr>
              <w:pStyle w:val="TableContents"/>
              <w:bidi w:val="0"/>
              <w:spacing w:before="0" w:after="283"/>
              <w:jc w:val="left"/>
              <w:rPr/>
            </w:pPr>
            <w:r>
              <w:rPr/>
              <w:t>Fanhua RONS Insurance Sales &amp; Service Co., Ltd.</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12,247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18.1</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pPr>
            <w:r>
              <w:rPr/>
              <w:t>12,240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r>
              <w:rPr/>
              <w:t>16.6</w:t>
            </w:r>
          </w:p>
        </w:tc>
        <w:tc>
          <w:tcPr>
            <w:tcW w:w="230" w:type="dxa"/>
            <w:tcBorders/>
            <w:vAlign w:val="center"/>
          </w:tcPr>
          <w:p>
            <w:pPr>
              <w:pStyle w:val="TableContents"/>
              <w:bidi w:val="0"/>
              <w:spacing w:before="0" w:after="283"/>
              <w:jc w:val="left"/>
              <w:rPr/>
            </w:pPr>
            <w:r>
              <w:rPr/>
              <w:t>%</w:t>
            </w:r>
          </w:p>
        </w:tc>
      </w:tr>
      <w:tr>
        <w:trPr/>
        <w:tc>
          <w:tcPr>
            <w:tcW w:w="4910" w:type="dxa"/>
            <w:tcBorders/>
            <w:shd w:fill="CCEEFF" w:val="clear"/>
            <w:vAlign w:val="center"/>
          </w:tcPr>
          <w:p>
            <w:pPr>
              <w:pStyle w:val="TableContents"/>
              <w:bidi w:val="0"/>
              <w:spacing w:before="0" w:after="283"/>
              <w:jc w:val="left"/>
              <w:rPr/>
            </w:pPr>
            <w:r>
              <w:rPr/>
              <w:t>AVIVA-COFCO Life Insurance Co., Ltd.</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9,795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14.5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w:t>
            </w:r>
          </w:p>
        </w:tc>
      </w:tr>
      <w:tr>
        <w:trPr/>
        <w:tc>
          <w:tcPr>
            <w:tcW w:w="4910" w:type="dxa"/>
            <w:tcBorders/>
            <w:vAlign w:val="center"/>
          </w:tcPr>
          <w:p>
            <w:pPr>
              <w:pStyle w:val="TableContents"/>
              <w:bidi w:val="0"/>
              <w:spacing w:before="0" w:after="283"/>
              <w:jc w:val="left"/>
              <w:rPr/>
            </w:pPr>
            <w:r>
              <w:rPr/>
              <w:t>Ruizhong Life Insurance Co., Ltd.</w:t>
            </w:r>
          </w:p>
        </w:tc>
        <w:tc>
          <w:tcPr>
            <w:tcW w:w="60" w:type="dxa"/>
            <w:tcBorders/>
            <w:vAlign w:val="center"/>
          </w:tcPr>
          <w:p>
            <w:pPr>
              <w:pStyle w:val="TableContents"/>
              <w:bidi w:val="0"/>
              <w:spacing w:before="0" w:after="283"/>
              <w:jc w:val="left"/>
              <w:rPr/>
            </w:pPr>
            <w:r>
              <w:rPr/>
              <w:t> </w:t>
            </w:r>
          </w:p>
        </w:tc>
        <w:tc>
          <w:tcPr>
            <w:tcW w:w="11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tcMar>
              <w:bottom w:w="28" w:type="dxa"/>
            </w:tcMar>
            <w:vAlign w:val="center"/>
          </w:tcPr>
          <w:p>
            <w:pPr>
              <w:pStyle w:val="TableContents"/>
              <w:bidi w:val="0"/>
              <w:spacing w:before="0" w:after="283"/>
              <w:jc w:val="right"/>
              <w:rPr/>
            </w:pPr>
            <w:r>
              <w:rPr/>
              <w:t>8,602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tcMar>
              <w:bottom w:w="28" w:type="dxa"/>
            </w:tcMar>
            <w:vAlign w:val="center"/>
          </w:tcPr>
          <w:p>
            <w:pPr>
              <w:pStyle w:val="TableContents"/>
              <w:bidi w:val="0"/>
              <w:spacing w:before="0" w:after="283"/>
              <w:jc w:val="right"/>
              <w:rPr/>
            </w:pPr>
            <w:r>
              <w:rPr/>
              <w:t>12.7</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w:t>
            </w:r>
          </w:p>
        </w:tc>
      </w:tr>
      <w:tr>
        <w:trPr/>
        <w:tc>
          <w:tcPr>
            <w:tcW w:w="4910" w:type="dxa"/>
            <w:tcBorders/>
            <w:shd w:fill="CCEEFF" w:val="clear"/>
            <w:vAlign w:val="center"/>
          </w:tcPr>
          <w:p>
            <w:pPr>
              <w:pStyle w:val="TableContents"/>
              <w:bidi w:val="0"/>
              <w:spacing w:before="0" w:after="283"/>
              <w:jc w:val="left"/>
              <w:rPr/>
            </w:pPr>
            <w:r>
              <w:rPr/>
              <w:t>Subtotal</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shd w:fill="CCEEFF" w:val="clear"/>
            <w:tcMar>
              <w:bottom w:w="28" w:type="dxa"/>
            </w:tcMar>
            <w:vAlign w:val="center"/>
          </w:tcPr>
          <w:p>
            <w:pPr>
              <w:pStyle w:val="TableContents"/>
              <w:bidi w:val="0"/>
              <w:spacing w:before="0" w:after="283"/>
              <w:jc w:val="right"/>
              <w:rPr/>
            </w:pPr>
            <w:r>
              <w:rPr/>
              <w:t>44,780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pPr>
            <w:r>
              <w:rPr/>
              <w:t>66.2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CCEEFF" w:val="clear"/>
            <w:tcMar>
              <w:bottom w:w="28" w:type="dxa"/>
            </w:tcMar>
            <w:vAlign w:val="center"/>
          </w:tcPr>
          <w:p>
            <w:pPr>
              <w:pStyle w:val="TableContents"/>
              <w:bidi w:val="0"/>
              <w:spacing w:before="0" w:after="283"/>
              <w:jc w:val="right"/>
              <w:rPr/>
            </w:pPr>
            <w:r>
              <w:rPr/>
              <w:t>12,240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16.6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170"/>
        <w:gridCol w:w="5735"/>
      </w:tblGrid>
      <w:tr>
        <w:trPr/>
        <w:tc>
          <w:tcPr>
            <w:tcW w:w="170" w:type="dxa"/>
            <w:tcBorders/>
            <w:vAlign w:val="center"/>
          </w:tcPr>
          <w:p>
            <w:pPr>
              <w:pStyle w:val="TableContents"/>
              <w:bidi w:val="0"/>
              <w:spacing w:before="0" w:after="283"/>
              <w:jc w:val="left"/>
              <w:rPr>
                <w:sz w:val="20"/>
              </w:rPr>
            </w:pPr>
            <w:r>
              <w:rPr>
                <w:sz w:val="20"/>
              </w:rPr>
              <w:t>*</w:t>
            </w:r>
          </w:p>
        </w:tc>
        <w:tc>
          <w:tcPr>
            <w:tcW w:w="5735" w:type="dxa"/>
            <w:tcBorders/>
            <w:vAlign w:val="center"/>
          </w:tcPr>
          <w:p>
            <w:pPr>
              <w:pStyle w:val="TableContents"/>
              <w:bidi w:val="0"/>
              <w:spacing w:before="0" w:after="283"/>
              <w:jc w:val="both"/>
              <w:rPr>
                <w:sz w:val="20"/>
              </w:rPr>
            </w:pPr>
            <w:r>
              <w:rPr>
                <w:sz w:val="20"/>
              </w:rPr>
              <w:t>represented less than 10% of accounts receivable as of the period end.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performs ongoing credit evaluations of its customers and generally does not require collateral on accounts receivable.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places its cash and cash equivalents and short-term investments with financial institutions with low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Share-based Compensation</w:t>
      </w:r>
    </w:p>
    <w:p>
      <w:pPr>
        <w:pStyle w:val="TextBody"/>
        <w:bidi w:val="0"/>
        <w:spacing w:before="0" w:after="0"/>
        <w:ind w:left="0" w:right="0" w:firstLine="7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2022 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12, 2022, the Group granted share options (“2022 Options”) to its independent directors to purchase up to 500 Class A ordinary shares. Pursuant to the option agreements entered into between the Group and the option grantees, the options vest over a four-year service period starting from the date of grant, with 30% (“Option D1”), 30% (“Option D2”), 20% (“Option D3”) and the remaining 20% (“Option D4”) of the options being vested on August 31 of each of the years starting from 2023 to 2026, respectively, subject to the continuous service of the option grantees. The 2022 Options expire no later than August 1, 2032, subject to earlier termination upon an optionee’s cessation of service. The 2022 Options had an exercise price of US$1,844 (RMB13,440) per post-split Class A ordinary shares and an intrinsic value of US$16 (RMB80) per Class A ordinary shares on the date of grant. The fair value of the options was determined by using the Black-Scholes option pricing model.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changes in the status of total outstanding options, were as follows:</w:t>
      </w:r>
    </w:p>
    <w:p>
      <w:pPr>
        <w:pStyle w:val="TextBody"/>
        <w:bidi w:val="0"/>
        <w:spacing w:before="0" w:after="0"/>
        <w:ind w:left="0" w:right="0" w:firstLine="799"/>
        <w:jc w:val="both"/>
        <w:rPr>
          <w:caps w:val="false"/>
          <w:smallCaps w:val="false"/>
        </w:rPr>
      </w:pPr>
      <w:r>
        <w:rPr>
          <w:caps w:val="false"/>
          <w:smallCaps w:val="false"/>
        </w:rPr>
        <w:t> </w:t>
      </w:r>
    </w:p>
    <w:tbl>
      <w:tblPr>
        <w:tblW w:w="9521" w:type="dxa"/>
        <w:jc w:val="left"/>
        <w:tblInd w:w="0" w:type="dxa"/>
        <w:tblLayout w:type="fixed"/>
        <w:tblCellMar>
          <w:top w:w="0" w:type="dxa"/>
          <w:left w:w="0" w:type="dxa"/>
          <w:bottom w:w="0" w:type="dxa"/>
          <w:right w:w="0" w:type="dxa"/>
        </w:tblCellMar>
      </w:tblPr>
      <w:tblGrid>
        <w:gridCol w:w="3635"/>
        <w:gridCol w:w="60"/>
        <w:gridCol w:w="137"/>
        <w:gridCol w:w="1052"/>
        <w:gridCol w:w="95"/>
        <w:gridCol w:w="60"/>
        <w:gridCol w:w="139"/>
        <w:gridCol w:w="1305"/>
        <w:gridCol w:w="60"/>
        <w:gridCol w:w="60"/>
        <w:gridCol w:w="191"/>
        <w:gridCol w:w="1403"/>
        <w:gridCol w:w="60"/>
        <w:gridCol w:w="60"/>
        <w:gridCol w:w="211"/>
        <w:gridCol w:w="918"/>
        <w:gridCol w:w="75"/>
      </w:tblGrid>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exercise price </w:t>
              <w:br/>
              <w:t>in 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remaining </w:t>
              <w:br/>
              <w:t xml:space="preserve">contractual life </w:t>
              <w:br/>
              <w:t>(In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Aggregate </w:t>
              <w:br/>
              <w:t xml:space="preserve">Intrinsic </w:t>
              <w:br/>
              <w:t xml:space="preserve">Value </w:t>
              <w:br/>
              <w:t>USD</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Outstanding as of December 31, 2025</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498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1,844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shd w:fill="CCEEFF" w:val="clear"/>
            <w:tcMar>
              <w:bottom w:w="28" w:type="dxa"/>
            </w:tcMar>
            <w:vAlign w:val="center"/>
          </w:tcPr>
          <w:p>
            <w:pPr>
              <w:pStyle w:val="TableContents"/>
              <w:bidi w:val="0"/>
              <w:spacing w:before="0" w:after="283"/>
              <w:jc w:val="right"/>
              <w:rPr/>
            </w:pPr>
            <w:r>
              <w:rPr/>
              <w:t>(498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Outstanding as of June 30, 2026</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certain independent directors resigned from the board in 2024, with the board approval, the vesting of the options granted to such independent directors has been accelerated on the date of resignation, and such vested options have since expired as they were not exercised within 90 days following the date of resignation. Options to purchase 2 Class A shares were forfeited in 2025 upon resignation of an independent director. For six months ended June 30, 2025 and 2026, share-based compensation expenses of nil and nil were recognized in connection with the 2022 Options, respectively. As of December 31, 2025 and June 30, 2026, unrecognized share-based compensation expense related to unvested share options granted to the independent directors was nil.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Restricted Share Units (“RSUs”)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16, 2023, the board of directors of the Group granted restricted share units (“RSUs”) of 536,990 ADSs to one of our former executive offices. Giving effect to the subsequent termination of AIFU’s ADS facility and Revese Share Splits, the grant was adjusted to 1,342 RSUs, with each RSU representing the right to receive one post-consolidation Class A ordinary share. Pursuant to the agreement entered into between the Group and the grantee, the ADSs vest over a five-year service period starting from the date of grant, with 250 RSUs, 250 RSUs, 342 RSUs, 250 RSUs and the remaining 250 RSUs to be vested on June 30 of each of the years starting from 2024 to 2028, respectively, subject to the continuous service of the grantee. The fair value of the RSUs was measured as the grant-date market price of the Group’s stock at US$2,540 per Class A ordinary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15, 2024, the board of directors of the Group granted an additional RSUs of 268,200 ADSs to the former executive office. Giving effect to the subsequent termination of AIFU’s ADS facility and Reverse Share Splits, the grant was adjusted to 671 RSUs, with each RSU representing the right to receive one post-consolidation Class A ordinary share. Pursuant to the agreement entered into between the Group and the grantee, the RSUs vest over a two-year service period starting from the date of grant. Upon resignation of this executive office on September 30, 2024, the board has approved that a total of RSUs of 2,000 post-split Class A ordinary shares will be immediately vested to him with a lock up period of 30 months and the remaining RSUs granted to him were forfeited. The fair value of the RSUs was measured as the grant-date market price of the Group’s stock at US$568 per post-split Class A ordinary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17, 2024, the board of directors of the Group granted RSUs of 1,000,000 ADSs to the former chairperson of the board. Giving effect to the subsequent ADR facility termination and Reverse Share Splits, the grant was adjusted to 2,500 RSUs, with each RSU representing a right to receive one post-split Class A ordinary share. Pursuant to the agreement entered into between the Group and the grantee, the RSUs shall vest over a three-year service period starting from the date of grant, with 30%, 30% and 40% to vest on grant date of each of the years starting from 2025 to 2027, respectively, subject to the continuous service of the grantee. The fair value of the RSUs was measured as the grant-date market price of the Group’s stock at US$452 per post-split Class A ordinary share. On March 17, 2026, the chairperson resigned from the board. As of the date of her resignation, 30% of the RSUs has vested and the remaining RSUs were forfeited.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February to April 2025, the board of the directors of the Group approved the grant of a total of 275,000 RSUs to certain departing management and employees as severance compensation, representing rights to receive 27,500 per post-split Class A ordinary shares. The RSUs were fully vested upon grant. The fair value was measured based on the grant-date market price of the Group’s stock.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activity of the service-based RSUs for the six months ended June 30, 2026 is presented as follows:</w:t>
      </w:r>
    </w:p>
    <w:p>
      <w:pPr>
        <w:pStyle w:val="TextBody"/>
        <w:bidi w:val="0"/>
        <w:spacing w:before="0" w:after="0"/>
        <w:ind w:left="0" w:right="0" w:firstLine="360"/>
        <w:jc w:val="both"/>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3380"/>
        <w:gridCol w:w="60"/>
        <w:gridCol w:w="83"/>
        <w:gridCol w:w="1046"/>
        <w:gridCol w:w="95"/>
        <w:gridCol w:w="60"/>
        <w:gridCol w:w="120"/>
        <w:gridCol w:w="1984"/>
        <w:gridCol w:w="75"/>
      </w:tblGrid>
      <w:tr>
        <w:trPr/>
        <w:tc>
          <w:tcPr>
            <w:tcW w:w="3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restricted</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grant-date fair value</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Unvested as of January 1, 2025</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2,500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8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right"/>
              <w:rPr/>
            </w:pPr>
            <w:r>
              <w:rPr/>
              <w:t>27,500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3,351,000</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(28,250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8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Forfeited</w:t>
            </w:r>
          </w:p>
        </w:tc>
        <w:tc>
          <w:tcPr>
            <w:tcW w:w="60" w:type="dxa"/>
            <w:tcBorders/>
            <w:vAlign w:val="center"/>
          </w:tcPr>
          <w:p>
            <w:pPr>
              <w:pStyle w:val="TableContents"/>
              <w:bidi w:val="0"/>
              <w:spacing w:before="0" w:after="283"/>
              <w:jc w:val="left"/>
              <w:rPr/>
            </w:pPr>
            <w:r>
              <w:rPr/>
              <w:t> </w:t>
            </w:r>
          </w:p>
        </w:tc>
        <w:tc>
          <w:tcPr>
            <w:tcW w:w="8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984" w:type="dxa"/>
            <w:tcBorders>
              <w:bottom w:val="single" w:sz="12" w:space="0" w:color="000000"/>
            </w:tcBorders>
            <w:tcMar>
              <w:bottom w:w="28" w:type="dxa"/>
            </w:tcMar>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Unvested as of December 31, 2025</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center"/>
          </w:tcPr>
          <w:p>
            <w:pPr>
              <w:pStyle w:val="TableContents"/>
              <w:bidi w:val="0"/>
              <w:spacing w:before="0" w:after="283"/>
              <w:jc w:val="right"/>
              <w:rPr/>
            </w:pPr>
            <w:r>
              <w:rPr/>
              <w:t>1,750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8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8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Forfeited</w:t>
            </w:r>
          </w:p>
        </w:tc>
        <w:tc>
          <w:tcPr>
            <w:tcW w:w="60" w:type="dxa"/>
            <w:tcBorders/>
            <w:vAlign w:val="center"/>
          </w:tcPr>
          <w:p>
            <w:pPr>
              <w:pStyle w:val="TableContents"/>
              <w:bidi w:val="0"/>
              <w:spacing w:before="0" w:after="283"/>
              <w:jc w:val="left"/>
              <w:rPr/>
            </w:pPr>
            <w:r>
              <w:rPr/>
              <w:t> </w:t>
            </w:r>
          </w:p>
        </w:tc>
        <w:tc>
          <w:tcPr>
            <w:tcW w:w="8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tcMar>
              <w:bottom w:w="28" w:type="dxa"/>
            </w:tcMar>
            <w:vAlign w:val="center"/>
          </w:tcPr>
          <w:p>
            <w:pPr>
              <w:pStyle w:val="TableContents"/>
              <w:bidi w:val="0"/>
              <w:spacing w:before="0" w:after="283"/>
              <w:jc w:val="right"/>
              <w:rPr/>
            </w:pPr>
            <w:r>
              <w:rPr/>
              <w:t>(1,750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984" w:type="dxa"/>
            <w:tcBorders>
              <w:bottom w:val="single" w:sz="12" w:space="0" w:color="000000"/>
            </w:tcBorders>
            <w:tcMar>
              <w:bottom w:w="28" w:type="dxa"/>
            </w:tcMar>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Unvested as of June 30,2026</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98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recorded share-based compensation expense of RMB15,823 and nil in connection with the RSUs for the six months ended June 30, 2025 and 2026, respectively. As of June 30, 2026, unrecognized share-based compensation expense related to RSUs granted to former executive officers and directors is RMB4,955, which is expected to be recognized over a weighted-average period of 1.9 years on a straight-line basis at an amount which at least equals the portion of the grant-date fair value of the RSUs that are vested at that date.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Million Dollar Round Table Options (“MDRT 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2023 Million Dollar Round Table Options (“2023 MDRT 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6, 2023, the board of directors of the Group granted share options, or the 2023 MDRT Options, to its independent high-performing agents to purchase up to 1,700 Class A ordinary shares of the Group. Pursuant to the option agreements entered into between the Group and the option grantees, the options vest over a two-year service period starting from the date of grant, with 50% and the remaining 50% of the options being vested on March 31, 2024 and March 31, 2025, respectively, subject to the continuous service of the option grantees and the achievement of the performance conditions. The 2023 MDRT Options expire no later than August 1, 2027, subject to earlier termination upon an optionee’s cessation of service. The 2023 MDRT Options had an exercise price of US$400.0 (RMB2,714.0) and an intrinsic value of US$2,500.0 (RMB16,962.8) per post-split Class A ordinary share on the date of grant. As of June 30, 2026, options to purchase 590 Class A ordinary shares related to 2022 Option 2 were vested and outstanding, 26 Class A ordinary shares were exercised, and all of the remaining options were forfeited due to underperformance of the option holders.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2024 Million Dollar Round Table Options1 (“2024 MDRT Options 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16, 2024, the board of directors of the Group granted share options to certain MDRT agents or the 2024 MDRT Option to purchase up to 2,261 Class A ordinary shares of the Group. Pursuant to the option agreements entered into between the Group and the option grantees, the options vest over a two-year service period starting from the date of grant, with 50% and the remaining 50% of the options being vested on March 31 of each of the years starting from 2025 to 2026, respectively, subject to the continuous service of the option grantees and the achievement of the performance conditions. 2024 MDRT Option expire no later than August 1, 2027, subject to earlier termination upon an optionee’s cessation of service. 2024 MDRT Option has an exercise price of US$944.7 (RMB6,410.0) and an intrinsic value of US$400.0 (RMB148.0) per Class A ordinary share on the date of grant. As of June 30, 2026, options to purchase 780 Class A ordinary shares related to 2024 MDRT Options 1 were vested and outstanding, and all of the remaining options were forfeited due to underperformance of the option holders.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2024 Million Dollar Round Table Options 2 (“2024 MDRT Options 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of 2024, the board of directors of the Group granted share options to certain newly recruited agents and sales team leaders to purchase up to 1,042 Class A ordinary shares of the Group. Pursuant to the option agreements entered into between the Group and the option grantees, the options vest over a two-year service period starting from the date of grant, with 50% and the remaining 50% of the options to be vested on March 31 of each of the years starting from 2025 to 2026, respectively, subject to the continuous service of the option grantees and the achievement of the performance conditions. 2024 MDRT Option expire no later than August 1, 2027, subject to earlier termination upon an optionee’s cessation of service. 2024 MDRT Option has an exercise price of US$400.0 (RMB2,714) and an intrinsic value with rang of US$560 (RMB2,799.66) to US$1,280 (RMB8,684.93) per Class A ordinary share on the date of grant. As of June 30, 2026, options to purchase 225 Class A ordinary shares related to 2024 MDRT Options 2 were outstanding, and all of the remaining options were forfeited due to underperformance of the option 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used the binomial option pricing model in determining the fair value of the options granted, which requires the input of highly subjective assumptions, including the expected life of the stock option, stock price volatility, dividend rate and risk-free interest rate. The assumptions used in determining the fair value of the MDRT Options on the grant date were as follows:</w:t>
      </w:r>
    </w:p>
    <w:p>
      <w:pPr>
        <w:pStyle w:val="TextBody"/>
        <w:bidi w:val="0"/>
        <w:spacing w:before="0" w:after="0"/>
        <w:ind w:left="0" w:right="0" w:firstLine="360"/>
        <w:jc w:val="both"/>
        <w:rPr>
          <w:caps w:val="false"/>
          <w:smallCaps w:val="false"/>
        </w:rPr>
      </w:pPr>
      <w:r>
        <w:rPr>
          <w:caps w:val="false"/>
          <w:smallCaps w:val="false"/>
        </w:rPr>
        <w:t> </w:t>
      </w:r>
    </w:p>
    <w:tbl>
      <w:tblPr>
        <w:tblW w:w="9800" w:type="dxa"/>
        <w:jc w:val="left"/>
        <w:tblInd w:w="0" w:type="dxa"/>
        <w:tblLayout w:type="fixed"/>
        <w:tblCellMar>
          <w:top w:w="0" w:type="dxa"/>
          <w:left w:w="0" w:type="dxa"/>
          <w:bottom w:w="28" w:type="dxa"/>
          <w:right w:w="0" w:type="dxa"/>
        </w:tblCellMar>
      </w:tblPr>
      <w:tblGrid>
        <w:gridCol w:w="3275"/>
        <w:gridCol w:w="60"/>
        <w:gridCol w:w="60"/>
        <w:gridCol w:w="1955"/>
        <w:gridCol w:w="215"/>
        <w:gridCol w:w="60"/>
        <w:gridCol w:w="60"/>
        <w:gridCol w:w="1745"/>
        <w:gridCol w:w="215"/>
        <w:gridCol w:w="60"/>
        <w:gridCol w:w="60"/>
        <w:gridCol w:w="1805"/>
        <w:gridCol w:w="230"/>
      </w:tblGrid>
      <w:tr>
        <w:trPr/>
        <w:tc>
          <w:tcPr>
            <w:tcW w:w="3275" w:type="dxa"/>
            <w:tcBorders>
              <w:bottom w:val="single" w:sz="12" w:space="0" w:color="000000"/>
            </w:tcBorders>
            <w:vAlign w:val="center"/>
          </w:tcPr>
          <w:p>
            <w:pPr>
              <w:pStyle w:val="TableContents"/>
              <w:bidi w:val="0"/>
              <w:spacing w:before="0" w:after="283"/>
              <w:jc w:val="left"/>
              <w:rPr>
                <w:b/>
              </w:rPr>
            </w:pPr>
            <w:r>
              <w:rPr>
                <w:b/>
              </w:rPr>
              <w:t>Assumptions</w:t>
            </w:r>
          </w:p>
        </w:tc>
        <w:tc>
          <w:tcPr>
            <w:tcW w:w="60" w:type="dxa"/>
            <w:tcBorders/>
            <w:tcMar>
              <w:bottom w:w="0" w:type="dxa"/>
            </w:tcMar>
            <w:vAlign w:val="center"/>
          </w:tcPr>
          <w:p>
            <w:pPr>
              <w:pStyle w:val="TableContents"/>
              <w:bidi w:val="0"/>
              <w:spacing w:before="0" w:after="283"/>
              <w:jc w:val="left"/>
              <w:rPr/>
            </w:pPr>
            <w:r>
              <w:rPr/>
              <w:t> </w:t>
            </w:r>
          </w:p>
        </w:tc>
        <w:tc>
          <w:tcPr>
            <w:tcW w:w="2015" w:type="dxa"/>
            <w:gridSpan w:val="2"/>
            <w:tcBorders>
              <w:bottom w:val="single" w:sz="12" w:space="0" w:color="000000"/>
            </w:tcBorders>
            <w:vAlign w:val="center"/>
          </w:tcPr>
          <w:p>
            <w:pPr>
              <w:pStyle w:val="TableContents"/>
              <w:bidi w:val="0"/>
              <w:spacing w:before="0" w:after="283"/>
              <w:jc w:val="center"/>
              <w:rPr>
                <w:b/>
              </w:rPr>
            </w:pPr>
            <w:r>
              <w:rPr>
                <w:b/>
              </w:rPr>
              <w:t>2023 MDRT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05" w:type="dxa"/>
            <w:gridSpan w:val="2"/>
            <w:tcBorders>
              <w:bottom w:val="single" w:sz="12" w:space="0" w:color="000000"/>
            </w:tcBorders>
            <w:vAlign w:val="center"/>
          </w:tcPr>
          <w:p>
            <w:pPr>
              <w:pStyle w:val="TableContents"/>
              <w:bidi w:val="0"/>
              <w:spacing w:before="0" w:after="283"/>
              <w:jc w:val="center"/>
              <w:rPr>
                <w:b/>
              </w:rPr>
            </w:pPr>
            <w:r>
              <w:rPr>
                <w:b/>
              </w:rPr>
              <w:t>2024 MDRT 1</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65" w:type="dxa"/>
            <w:gridSpan w:val="2"/>
            <w:tcBorders>
              <w:bottom w:val="single" w:sz="12" w:space="0" w:color="000000"/>
            </w:tcBorders>
            <w:vAlign w:val="center"/>
          </w:tcPr>
          <w:p>
            <w:pPr>
              <w:pStyle w:val="TableContents"/>
              <w:bidi w:val="0"/>
              <w:spacing w:before="0" w:after="283"/>
              <w:jc w:val="center"/>
              <w:rPr>
                <w:b/>
              </w:rPr>
            </w:pPr>
            <w:r>
              <w:rPr>
                <w:b/>
              </w:rPr>
              <w:t>2024 MDRT 2</w:t>
            </w:r>
          </w:p>
        </w:tc>
        <w:tc>
          <w:tcPr>
            <w:tcW w:w="230" w:type="dxa"/>
            <w:tcBorders/>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left"/>
              <w:rPr/>
            </w:pPr>
            <w:r>
              <w:rPr/>
              <w:t>Expected dividend yield (Note i)</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right"/>
              <w:rPr/>
            </w:pPr>
            <w:r>
              <w:rPr/>
              <w:t>3.69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right"/>
              <w:rPr/>
            </w:pPr>
            <w:r>
              <w:rPr/>
              <w:t>3.22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right"/>
              <w:rPr/>
            </w:pPr>
            <w:r>
              <w:rPr/>
              <w:t>3.22</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275" w:type="dxa"/>
            <w:tcBorders/>
            <w:tcMar>
              <w:bottom w:w="0" w:type="dxa"/>
            </w:tcMar>
            <w:vAlign w:val="center"/>
          </w:tcPr>
          <w:p>
            <w:pPr>
              <w:pStyle w:val="TableContents"/>
              <w:bidi w:val="0"/>
              <w:spacing w:before="0" w:after="283"/>
              <w:jc w:val="left"/>
              <w:rPr/>
            </w:pPr>
            <w:r>
              <w:rPr/>
              <w:t>Risk-free interest rates (Note ii)</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right"/>
              <w:rPr/>
            </w:pPr>
            <w:r>
              <w:rPr/>
              <w:t>3.88</w:t>
            </w:r>
          </w:p>
        </w:tc>
        <w:tc>
          <w:tcPr>
            <w:tcW w:w="21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right"/>
              <w:rPr/>
            </w:pPr>
            <w:r>
              <w:rPr/>
              <w:t>4.81</w:t>
            </w:r>
          </w:p>
        </w:tc>
        <w:tc>
          <w:tcPr>
            <w:tcW w:w="21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05" w:type="dxa"/>
            <w:tcBorders/>
            <w:tcMar>
              <w:bottom w:w="0" w:type="dxa"/>
            </w:tcMar>
            <w:vAlign w:val="center"/>
          </w:tcPr>
          <w:p>
            <w:pPr>
              <w:pStyle w:val="TableContents"/>
              <w:bidi w:val="0"/>
              <w:spacing w:before="0" w:after="283"/>
              <w:jc w:val="right"/>
              <w:rPr>
                <w:sz w:val="20"/>
              </w:rPr>
            </w:pPr>
            <w:r>
              <w:rPr>
                <w:sz w:val="20"/>
              </w:rPr>
              <w:t>4.44-4.81%</w:t>
            </w:r>
          </w:p>
        </w:tc>
        <w:tc>
          <w:tcPr>
            <w:tcW w:w="230" w:type="dxa"/>
            <w:tcBorders/>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left"/>
              <w:rPr/>
            </w:pPr>
            <w:r>
              <w:rPr/>
              <w:t>Expected volatility (Note iii)</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right"/>
              <w:rPr/>
            </w:pPr>
            <w:r>
              <w:rPr/>
              <w:t>51.41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right"/>
              <w:rPr/>
            </w:pPr>
            <w:r>
              <w:rPr/>
              <w:t>59.78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right"/>
              <w:rPr>
                <w:sz w:val="20"/>
              </w:rPr>
            </w:pPr>
            <w:r>
              <w:rPr>
                <w:sz w:val="20"/>
              </w:rPr>
              <w:t>59.78-60.61%</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tcMar>
              <w:bottom w:w="0" w:type="dxa"/>
            </w:tcMar>
            <w:vAlign w:val="center"/>
          </w:tcPr>
          <w:p>
            <w:pPr>
              <w:pStyle w:val="TableContents"/>
              <w:bidi w:val="0"/>
              <w:spacing w:before="0" w:after="283"/>
              <w:jc w:val="left"/>
              <w:rPr/>
            </w:pPr>
            <w:r>
              <w:rPr/>
              <w:t>Expected life in years (Note iv)</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right"/>
              <w:rPr/>
            </w:pPr>
            <w:r>
              <w:rPr/>
              <w:t>4.49</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right"/>
              <w:rPr/>
            </w:pPr>
            <w:r>
              <w:rPr/>
              <w:t>3.29</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05" w:type="dxa"/>
            <w:tcBorders/>
            <w:tcMar>
              <w:bottom w:w="0" w:type="dxa"/>
            </w:tcMar>
            <w:vAlign w:val="center"/>
          </w:tcPr>
          <w:p>
            <w:pPr>
              <w:pStyle w:val="TableContents"/>
              <w:bidi w:val="0"/>
              <w:spacing w:before="0" w:after="283"/>
              <w:jc w:val="right"/>
              <w:rPr>
                <w:sz w:val="20"/>
              </w:rPr>
            </w:pPr>
            <w:r>
              <w:rPr>
                <w:sz w:val="20"/>
              </w:rPr>
              <w:t>3.1-3.29</w:t>
            </w:r>
          </w:p>
        </w:tc>
        <w:tc>
          <w:tcPr>
            <w:tcW w:w="230" w:type="dxa"/>
            <w:tcBorders/>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left"/>
              <w:rPr/>
            </w:pPr>
            <w:r>
              <w:rPr/>
              <w:t>Exercise multiple (Note v)</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right"/>
              <w:rPr/>
            </w:pPr>
            <w:r>
              <w:rPr/>
              <w:t>2.80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right"/>
              <w:rPr/>
            </w:pPr>
            <w:r>
              <w:rPr/>
              <w:t>1.0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right"/>
              <w:rPr/>
            </w:pPr>
            <w:r>
              <w:rPr/>
              <w:t>1.0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tcMar>
              <w:bottom w:w="0" w:type="dxa"/>
            </w:tcMar>
            <w:vAlign w:val="center"/>
          </w:tcPr>
          <w:p>
            <w:pPr>
              <w:pStyle w:val="TableContents"/>
              <w:bidi w:val="0"/>
              <w:spacing w:before="0" w:after="283"/>
              <w:jc w:val="left"/>
              <w:rPr/>
            </w:pPr>
            <w:r>
              <w:rPr/>
              <w:t>Fair value of options on grant date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right"/>
              <w:rPr>
                <w:sz w:val="20"/>
              </w:rPr>
            </w:pPr>
            <w:r>
              <w:rPr>
                <w:sz w:val="20"/>
              </w:rPr>
              <w:t>US$115.84~US$119.88</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right"/>
              <w:rPr>
                <w:sz w:val="20"/>
              </w:rPr>
            </w:pPr>
            <w:r>
              <w:rPr>
                <w:sz w:val="20"/>
              </w:rPr>
              <w:t>US$33.36~US$33.56</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05" w:type="dxa"/>
            <w:tcBorders/>
            <w:tcMar>
              <w:bottom w:w="0" w:type="dxa"/>
            </w:tcMar>
            <w:vAlign w:val="center"/>
          </w:tcPr>
          <w:p>
            <w:pPr>
              <w:pStyle w:val="TableContents"/>
              <w:bidi w:val="0"/>
              <w:spacing w:before="0" w:after="283"/>
              <w:jc w:val="right"/>
              <w:rPr/>
            </w:pPr>
            <w:r>
              <w:rPr/>
              <w:t> </w:t>
            </w:r>
            <w:r>
              <w:rPr>
                <w:sz w:val="20"/>
              </w:rPr>
              <w:t>US$28.44~US$48.16</w:t>
            </w:r>
          </w:p>
        </w:tc>
        <w:tc>
          <w:tcPr>
            <w:tcW w:w="23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75"/>
        <w:gridCol w:w="200"/>
        <w:gridCol w:w="21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(i)</w:t>
            </w:r>
          </w:p>
        </w:tc>
        <w:tc>
          <w:tcPr>
            <w:tcW w:w="2105" w:type="dxa"/>
            <w:tcBorders/>
            <w:vAlign w:val="center"/>
          </w:tcPr>
          <w:p>
            <w:pPr>
              <w:pStyle w:val="TableContents"/>
              <w:bidi w:val="0"/>
              <w:spacing w:before="0" w:after="283"/>
              <w:jc w:val="both"/>
              <w:rPr>
                <w:sz w:val="20"/>
              </w:rPr>
            </w:pPr>
            <w:r>
              <w:rPr>
                <w:sz w:val="20"/>
              </w:rPr>
              <w:t>Expected dividend yield: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dividend yield was estimated by the Group based on its historical and future dividend policy.</w:t>
      </w:r>
    </w:p>
    <w:p>
      <w:pPr>
        <w:pStyle w:val="TextBody"/>
        <w:bidi w:val="0"/>
        <w:spacing w:before="0" w:after="0"/>
        <w:ind w:left="0" w:right="0" w:firstLine="360"/>
        <w:jc w:val="both"/>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260"/>
        <w:gridCol w:w="182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20"/>
              </w:rPr>
            </w:pPr>
            <w:r>
              <w:rPr>
                <w:sz w:val="20"/>
              </w:rPr>
              <w:t>(ii)</w:t>
            </w:r>
          </w:p>
        </w:tc>
        <w:tc>
          <w:tcPr>
            <w:tcW w:w="1820" w:type="dxa"/>
            <w:tcBorders/>
            <w:vAlign w:val="center"/>
          </w:tcPr>
          <w:p>
            <w:pPr>
              <w:pStyle w:val="TableContents"/>
              <w:bidi w:val="0"/>
              <w:spacing w:before="0" w:after="283"/>
              <w:jc w:val="both"/>
              <w:rPr>
                <w:sz w:val="20"/>
              </w:rPr>
            </w:pPr>
            <w:r>
              <w:rPr>
                <w:sz w:val="20"/>
              </w:rPr>
              <w:t>Risk-free interest rate: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 was estimated based on the US Government Bond yield and pro-rated according to the tenor of the options as of the valuation date.</w:t>
      </w:r>
    </w:p>
    <w:p>
      <w:pPr>
        <w:pStyle w:val="TextBody"/>
        <w:bidi w:val="0"/>
        <w:spacing w:before="0" w:after="0"/>
        <w:ind w:left="0" w:right="0" w:firstLine="36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75"/>
        <w:gridCol w:w="320"/>
        <w:gridCol w:w="167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(iii)</w:t>
            </w:r>
          </w:p>
        </w:tc>
        <w:tc>
          <w:tcPr>
            <w:tcW w:w="1670" w:type="dxa"/>
            <w:tcBorders/>
            <w:vAlign w:val="center"/>
          </w:tcPr>
          <w:p>
            <w:pPr>
              <w:pStyle w:val="TableContents"/>
              <w:bidi w:val="0"/>
              <w:spacing w:before="0" w:after="283"/>
              <w:jc w:val="both"/>
              <w:rPr>
                <w:sz w:val="20"/>
              </w:rPr>
            </w:pPr>
            <w:r>
              <w:rPr>
                <w:sz w:val="20"/>
              </w:rPr>
              <w:t>Expected volatility: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volatility of the underlying ordinary shares was estimated based on the annualized standard deviation of the continuously compounded rate of return on the daily average adjusted share price of the Group as of the Valuation Date.</w:t>
      </w:r>
    </w:p>
    <w:p>
      <w:pPr>
        <w:pStyle w:val="TextBody"/>
        <w:bidi w:val="0"/>
        <w:spacing w:before="0" w:after="0"/>
        <w:ind w:left="0" w:right="0" w:firstLine="36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75"/>
        <w:gridCol w:w="305"/>
        <w:gridCol w:w="117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20"/>
              </w:rPr>
            </w:pPr>
            <w:r>
              <w:rPr>
                <w:sz w:val="20"/>
              </w:rPr>
              <w:t>(iv)</w:t>
            </w:r>
          </w:p>
        </w:tc>
        <w:tc>
          <w:tcPr>
            <w:tcW w:w="1175" w:type="dxa"/>
            <w:tcBorders/>
            <w:vAlign w:val="center"/>
          </w:tcPr>
          <w:p>
            <w:pPr>
              <w:pStyle w:val="TableContents"/>
              <w:bidi w:val="0"/>
              <w:spacing w:before="0" w:after="283"/>
              <w:jc w:val="both"/>
              <w:rPr>
                <w:sz w:val="20"/>
              </w:rPr>
            </w:pPr>
            <w:r>
              <w:rPr>
                <w:sz w:val="20"/>
              </w:rPr>
              <w:t>Expected life: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life was estimated based on the end of the vesting period and the contractual term of the award of the Options plan.</w:t>
      </w:r>
    </w:p>
    <w:p>
      <w:pPr>
        <w:pStyle w:val="TextBody"/>
        <w:bidi w:val="0"/>
        <w:spacing w:before="0" w:after="0"/>
        <w:ind w:left="0" w:right="0" w:firstLine="360"/>
        <w:jc w:val="both"/>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75"/>
        <w:gridCol w:w="245"/>
        <w:gridCol w:w="15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(v)</w:t>
            </w:r>
          </w:p>
        </w:tc>
        <w:tc>
          <w:tcPr>
            <w:tcW w:w="1520" w:type="dxa"/>
            <w:tcBorders/>
            <w:vAlign w:val="center"/>
          </w:tcPr>
          <w:p>
            <w:pPr>
              <w:pStyle w:val="TableContents"/>
              <w:bidi w:val="0"/>
              <w:spacing w:before="0" w:after="283"/>
              <w:jc w:val="both"/>
              <w:rPr>
                <w:sz w:val="20"/>
              </w:rPr>
            </w:pPr>
            <w:r>
              <w:rPr>
                <w:sz w:val="20"/>
              </w:rPr>
              <w:t>Exercise multiple: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multiple was estimated based on empirical studies.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share options outstanding as of June 30, 2026, and activity during the period ended, is presented below: </w:t>
      </w:r>
    </w:p>
    <w:p>
      <w:pPr>
        <w:pStyle w:val="TextBody"/>
        <w:bidi w:val="0"/>
        <w:spacing w:before="0" w:after="0"/>
        <w:ind w:left="0" w:right="0" w:hanging="0"/>
        <w:jc w:val="both"/>
        <w:rPr>
          <w:caps w:val="false"/>
          <w:smallCaps w:val="false"/>
        </w:rPr>
      </w:pPr>
      <w:r>
        <w:rPr>
          <w:caps w:val="false"/>
          <w:smallCaps w:val="false"/>
        </w:rPr>
        <w:t> </w:t>
      </w:r>
    </w:p>
    <w:tbl>
      <w:tblPr>
        <w:tblW w:w="9926" w:type="dxa"/>
        <w:jc w:val="left"/>
        <w:tblInd w:w="0" w:type="dxa"/>
        <w:tblLayout w:type="fixed"/>
        <w:tblCellMar>
          <w:top w:w="0" w:type="dxa"/>
          <w:left w:w="0" w:type="dxa"/>
          <w:bottom w:w="0" w:type="dxa"/>
          <w:right w:w="0" w:type="dxa"/>
        </w:tblCellMar>
      </w:tblPr>
      <w:tblGrid>
        <w:gridCol w:w="3635"/>
        <w:gridCol w:w="60"/>
        <w:gridCol w:w="96"/>
        <w:gridCol w:w="1033"/>
        <w:gridCol w:w="95"/>
        <w:gridCol w:w="60"/>
        <w:gridCol w:w="139"/>
        <w:gridCol w:w="1305"/>
        <w:gridCol w:w="60"/>
        <w:gridCol w:w="60"/>
        <w:gridCol w:w="191"/>
        <w:gridCol w:w="1403"/>
        <w:gridCol w:w="60"/>
        <w:gridCol w:w="60"/>
        <w:gridCol w:w="298"/>
        <w:gridCol w:w="1296"/>
        <w:gridCol w:w="7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 xml:space="preserve">exercise price </w:t>
              <w:br/>
              <w:t>in 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 xml:space="preserve">contractual life </w:t>
              <w:br/>
              <w:t>(In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w:t>
              <w:br/>
              <w:t xml:space="preserve">Intrinsic Value </w:t>
              <w:br/>
              <w:t>USD</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Outstanding as of January 1, 2025</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3,434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722.4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57</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Forfeited</w:t>
            </w:r>
          </w:p>
        </w:tc>
        <w:tc>
          <w:tcPr>
            <w:tcW w:w="60" w:type="dxa"/>
            <w:tcBorders/>
            <w:vAlign w:val="center"/>
          </w:tcPr>
          <w:p>
            <w:pPr>
              <w:pStyle w:val="TableContents"/>
              <w:bidi w:val="0"/>
              <w:spacing w:before="0" w:after="283"/>
              <w:jc w:val="left"/>
              <w:rPr/>
            </w:pPr>
            <w:r>
              <w:rPr/>
              <w:t> </w:t>
            </w:r>
          </w:p>
        </w:tc>
        <w:tc>
          <w:tcPr>
            <w:tcW w:w="9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tcMar>
              <w:bottom w:w="28" w:type="dxa"/>
            </w:tcMar>
            <w:vAlign w:val="center"/>
          </w:tcPr>
          <w:p>
            <w:pPr>
              <w:pStyle w:val="TableContents"/>
              <w:bidi w:val="0"/>
              <w:spacing w:before="0" w:after="283"/>
              <w:jc w:val="right"/>
              <w:rPr/>
            </w:pPr>
            <w:r>
              <w:rPr/>
              <w:t>(1,839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9" w:type="dxa"/>
            <w:tcBorders>
              <w:bottom w:val="single" w:sz="12" w:space="0" w:color="000000"/>
            </w:tcBorders>
            <w:tcMar>
              <w:bottom w:w="28" w:type="dxa"/>
            </w:tcMar>
            <w:vAlign w:val="center"/>
          </w:tcPr>
          <w:p>
            <w:pPr>
              <w:pStyle w:val="TableContents"/>
              <w:bidi w:val="0"/>
              <w:spacing w:before="0" w:after="283"/>
              <w:jc w:val="left"/>
              <w:rPr/>
            </w:pPr>
            <w:r>
              <w:rPr/>
              <w:t> </w:t>
            </w:r>
          </w:p>
        </w:tc>
        <w:tc>
          <w:tcPr>
            <w:tcW w:w="1305"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3"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tcMar>
              <w:bottom w:w="28" w:type="dxa"/>
            </w:tcMar>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Outstanding as of December 31, 2025</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center"/>
          </w:tcPr>
          <w:p>
            <w:pPr>
              <w:pStyle w:val="TableContents"/>
              <w:bidi w:val="0"/>
              <w:spacing w:before="0" w:after="283"/>
              <w:jc w:val="right"/>
              <w:rPr/>
            </w:pPr>
            <w:r>
              <w:rPr/>
              <w:t>1,595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12" w:space="0" w:color="000000"/>
            </w:tcBorders>
            <w:shd w:fill="CCEEFF" w:val="clear"/>
            <w:tcMar>
              <w:bottom w:w="28" w:type="dxa"/>
            </w:tcMar>
            <w:vAlign w:val="center"/>
          </w:tcPr>
          <w:p>
            <w:pPr>
              <w:pStyle w:val="TableContents"/>
              <w:bidi w:val="0"/>
              <w:spacing w:before="0" w:after="283"/>
              <w:jc w:val="right"/>
              <w:rPr/>
            </w:pPr>
            <w:r>
              <w:rPr/>
              <w:t>722.4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single" w:sz="12" w:space="0" w:color="000000"/>
            </w:tcBorders>
            <w:shd w:fill="CCEEFF" w:val="clear"/>
            <w:tcMar>
              <w:bottom w:w="28" w:type="dxa"/>
            </w:tcMar>
            <w:vAlign w:val="center"/>
          </w:tcPr>
          <w:p>
            <w:pPr>
              <w:pStyle w:val="TableContents"/>
              <w:bidi w:val="0"/>
              <w:spacing w:before="0" w:after="283"/>
              <w:jc w:val="right"/>
              <w:rPr/>
            </w:pPr>
            <w:r>
              <w:rPr/>
              <w:t>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57</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Forfeited</w:t>
            </w:r>
          </w:p>
        </w:tc>
        <w:tc>
          <w:tcPr>
            <w:tcW w:w="60" w:type="dxa"/>
            <w:tcBorders/>
            <w:vAlign w:val="center"/>
          </w:tcPr>
          <w:p>
            <w:pPr>
              <w:pStyle w:val="TableContents"/>
              <w:bidi w:val="0"/>
              <w:spacing w:before="0" w:after="283"/>
              <w:jc w:val="left"/>
              <w:rPr/>
            </w:pPr>
            <w:r>
              <w:rPr/>
              <w:t> </w:t>
            </w:r>
          </w:p>
        </w:tc>
        <w:tc>
          <w:tcPr>
            <w:tcW w:w="9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bottom w:val="single" w:sz="12" w:space="0" w:color="000000"/>
            </w:tcBorders>
            <w:tcMar>
              <w:bottom w:w="28" w:type="dxa"/>
            </w:tcMar>
            <w:vAlign w:val="center"/>
          </w:tcPr>
          <w:p>
            <w:pPr>
              <w:pStyle w:val="TableContents"/>
              <w:bidi w:val="0"/>
              <w:spacing w:before="0" w:after="283"/>
              <w:jc w:val="left"/>
              <w:rPr/>
            </w:pPr>
            <w:r>
              <w:rPr/>
              <w:t> </w:t>
            </w:r>
          </w:p>
        </w:tc>
        <w:tc>
          <w:tcPr>
            <w:tcW w:w="1305"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3"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tcMar>
              <w:bottom w:w="28" w:type="dxa"/>
            </w:tcMar>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Outstanding as of June 30, 2026</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1,595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722.4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as the performance conditions for the outstanding share options were not met, the remaining unvested MDRT Options were forfeited, leading to the reversal of related share-based compensation expense of RMB9,800 which had initially been recognized in fiscal year 2024. As of December 31, 2025 and June 30, 2026, unrecognized share-based compensation expense related to unvested MDRT Options was nil.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fiscal year ended December 31, 2025, the Group disposed of Meidiya and its subsidiaries including the operating entity of its former claims adjusting business, which constituted a discontinued operation. As the discontinued operation previously formed the claims adjusting reportable segment, the comparative segment information has been retrospectively revised to reflect continuing operations only. As of June 30, 2026, the Group operated two reportable segments, including i) the insurance agency segment, which mainly consists of providing agency services for distributing life insurance products and brokerage services for distributing non-life insurance products on behalf of insurance companies and ii) health and wellness (“H&amp;W”) segment which mainly consists of the sales of premium tea products. Operating segments are defined as components of an enterprise about which separate financial information is available and evaluated regularly by the Group’s chief operating decision maker (“CODM”) in deciding how to allocate resources and in assessing performance. The Group’s CODM is the Chief Executive Officer.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shows the Group’s operations by business segment for the six months ended June 30, 2025 and 2026. Other represents revenue and expenses that are not allocated to reportable segments and corporate related items. </w:t>
      </w:r>
    </w:p>
    <w:p>
      <w:pPr>
        <w:pStyle w:val="TextBody"/>
        <w:bidi w:val="0"/>
        <w:spacing w:before="0" w:after="0"/>
        <w:ind w:left="0" w:right="0" w:firstLine="36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4490"/>
        <w:gridCol w:w="60"/>
        <w:gridCol w:w="60"/>
        <w:gridCol w:w="875"/>
        <w:gridCol w:w="95"/>
        <w:gridCol w:w="60"/>
        <w:gridCol w:w="60"/>
        <w:gridCol w:w="635"/>
        <w:gridCol w:w="95"/>
        <w:gridCol w:w="60"/>
        <w:gridCol w:w="60"/>
        <w:gridCol w:w="755"/>
        <w:gridCol w:w="95"/>
        <w:gridCol w:w="60"/>
        <w:gridCol w:w="60"/>
        <w:gridCol w:w="875"/>
        <w:gridCol w:w="95"/>
        <w:gridCol w:w="60"/>
        <w:gridCol w:w="60"/>
        <w:gridCol w:w="755"/>
        <w:gridCol w:w="110"/>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15"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 2026</w:t>
            </w:r>
          </w:p>
        </w:tc>
        <w:tc>
          <w:tcPr>
            <w:tcW w:w="11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Agency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H&amp;W</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Consolidated</w:t>
            </w:r>
          </w:p>
        </w:tc>
        <w:tc>
          <w:tcPr>
            <w:tcW w:w="11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15" w:type="dxa"/>
            <w:gridSpan w:val="18"/>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224,493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226,180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33,334</w:t>
            </w:r>
          </w:p>
        </w:tc>
        <w:tc>
          <w:tcPr>
            <w:tcW w:w="11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Operating costs and expenses: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(96,946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(1,651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(98,597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(14,531</w:t>
            </w:r>
          </w:p>
        </w:tc>
        <w:tc>
          <w:tcPr>
            <w:tcW w:w="110" w:type="dxa"/>
            <w:tcBorders/>
            <w:shd w:fill="CCEEFF" w:val="clear"/>
            <w:vAlign w:val="center"/>
          </w:tcPr>
          <w:p>
            <w:pPr>
              <w:pStyle w:val="TableContents"/>
              <w:bidi w:val="0"/>
              <w:spacing w:before="0" w:after="283"/>
              <w:jc w:val="left"/>
              <w:rPr/>
            </w:pPr>
            <w:r>
              <w:rPr/>
              <w:t>)</w:t>
            </w:r>
          </w:p>
        </w:tc>
      </w:tr>
      <w:tr>
        <w:trPr/>
        <w:tc>
          <w:tcPr>
            <w:tcW w:w="4490" w:type="dxa"/>
            <w:tcBorders/>
            <w:vAlign w:val="center"/>
          </w:tcPr>
          <w:p>
            <w:pPr>
              <w:pStyle w:val="TableContents"/>
              <w:bidi w:val="0"/>
              <w:spacing w:before="0" w:after="283"/>
              <w:jc w:val="left"/>
              <w:rPr/>
            </w:pPr>
            <w:r>
              <w:rPr/>
              <w:t>Selling expenses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(24,926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(24,926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(3,674</w:t>
            </w:r>
          </w:p>
        </w:tc>
        <w:tc>
          <w:tcPr>
            <w:tcW w:w="110" w:type="dxa"/>
            <w:tcBorders/>
            <w:vAlign w:val="center"/>
          </w:tcPr>
          <w:p>
            <w:pPr>
              <w:pStyle w:val="TableContents"/>
              <w:bidi w:val="0"/>
              <w:spacing w:before="0" w:after="283"/>
              <w:jc w:val="left"/>
              <w:rPr/>
            </w:pPr>
            <w:r>
              <w:rPr/>
              <w:t>)</w:t>
            </w:r>
          </w:p>
        </w:tc>
      </w:tr>
      <w:tr>
        <w:trPr/>
        <w:tc>
          <w:tcPr>
            <w:tcW w:w="449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(51,647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(18,087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(69,745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(10,279</w:t>
            </w:r>
          </w:p>
        </w:tc>
        <w:tc>
          <w:tcPr>
            <w:tcW w:w="110" w:type="dxa"/>
            <w:tcBorders/>
            <w:shd w:fill="CCEEFF" w:val="clear"/>
            <w:vAlign w:val="center"/>
          </w:tcPr>
          <w:p>
            <w:pPr>
              <w:pStyle w:val="TableContents"/>
              <w:bidi w:val="0"/>
              <w:spacing w:before="0" w:after="283"/>
              <w:jc w:val="left"/>
              <w:rPr/>
            </w:pPr>
            <w:r>
              <w:rPr/>
              <w:t>)</w:t>
            </w:r>
          </w:p>
        </w:tc>
      </w:tr>
      <w:tr>
        <w:trPr/>
        <w:tc>
          <w:tcPr>
            <w:tcW w:w="4490" w:type="dxa"/>
            <w:tcBorders/>
            <w:vAlign w:val="center"/>
          </w:tcPr>
          <w:p>
            <w:pPr>
              <w:pStyle w:val="TableContents"/>
              <w:bidi w:val="0"/>
              <w:spacing w:before="0" w:after="283"/>
              <w:jc w:val="left"/>
              <w:rPr>
                <w:b/>
              </w:rPr>
            </w:pPr>
            <w:r>
              <w:rPr>
                <w:b/>
              </w:rPr>
              <w:t>Total operating costs and expenses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b/>
              </w:rPr>
            </w:pPr>
            <w:r>
              <w:rPr>
                <w:b/>
              </w:rPr>
              <w:t>(173,519</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tcMar>
              <w:bottom w:w="28" w:type="dxa"/>
            </w:tcMar>
            <w:vAlign w:val="center"/>
          </w:tcPr>
          <w:p>
            <w:pPr>
              <w:pStyle w:val="TableContents"/>
              <w:bidi w:val="0"/>
              <w:spacing w:before="0" w:after="283"/>
              <w:jc w:val="right"/>
              <w:rPr>
                <w:b/>
              </w:rPr>
            </w:pPr>
            <w:r>
              <w:rPr>
                <w:b/>
              </w:rPr>
              <w:t>(1,662</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b/>
              </w:rPr>
            </w:pPr>
            <w:r>
              <w:rPr>
                <w:b/>
              </w:rPr>
              <w:t>(18,087</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b/>
              </w:rPr>
            </w:pPr>
            <w:r>
              <w:rPr>
                <w:b/>
              </w:rPr>
              <w:t>(193,268</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b/>
              </w:rPr>
            </w:pPr>
            <w:r>
              <w:rPr>
                <w:b/>
              </w:rPr>
              <w:t>(28,484</w:t>
            </w:r>
          </w:p>
        </w:tc>
        <w:tc>
          <w:tcPr>
            <w:tcW w:w="110" w:type="dxa"/>
            <w:tcBorders/>
            <w:vAlign w:val="center"/>
          </w:tcPr>
          <w:p>
            <w:pPr>
              <w:pStyle w:val="TableContents"/>
              <w:bidi w:val="0"/>
              <w:spacing w:before="0" w:after="283"/>
              <w:jc w:val="left"/>
              <w:rPr>
                <w:b/>
              </w:rPr>
            </w:pPr>
            <w:r>
              <w:rPr>
                <w:b/>
              </w:rPr>
              <w:t>)</w:t>
            </w:r>
          </w:p>
        </w:tc>
      </w:tr>
      <w:tr>
        <w:trPr/>
        <w:tc>
          <w:tcPr>
            <w:tcW w:w="4490" w:type="dxa"/>
            <w:tcBorders/>
            <w:shd w:fill="CCEEFF" w:val="clear"/>
            <w:vAlign w:val="center"/>
          </w:tcPr>
          <w:p>
            <w:pPr>
              <w:pStyle w:val="TableContents"/>
              <w:bidi w:val="0"/>
              <w:spacing w:before="0" w:after="283"/>
              <w:jc w:val="left"/>
              <w:rPr>
                <w:b/>
              </w:rPr>
            </w:pPr>
            <w:r>
              <w:rPr>
                <w:b/>
              </w:rPr>
              <w:t>Operating profit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50,974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(18,087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4,850</w:t>
            </w:r>
          </w:p>
        </w:tc>
        <w:tc>
          <w:tcPr>
            <w:tcW w:w="11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Loss from fair value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(1,112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(1,112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(164</w:t>
            </w:r>
          </w:p>
        </w:tc>
        <w:tc>
          <w:tcPr>
            <w:tcW w:w="110" w:type="dxa"/>
            <w:tcBorders/>
            <w:vAlign w:val="center"/>
          </w:tcPr>
          <w:p>
            <w:pPr>
              <w:pStyle w:val="TableContents"/>
              <w:bidi w:val="0"/>
              <w:spacing w:before="0" w:after="283"/>
              <w:jc w:val="left"/>
              <w:rPr/>
            </w:pPr>
            <w:r>
              <w:rPr/>
              <w:t>)</w:t>
            </w:r>
          </w:p>
        </w:tc>
      </w:tr>
      <w:tr>
        <w:trPr/>
        <w:tc>
          <w:tcPr>
            <w:tcW w:w="4490" w:type="dxa"/>
            <w:tcBorders/>
            <w:shd w:fill="CCEEFF" w:val="clear"/>
            <w:vAlign w:val="center"/>
          </w:tcPr>
          <w:p>
            <w:pPr>
              <w:pStyle w:val="TableContents"/>
              <w:bidi w:val="0"/>
              <w:spacing w:before="0" w:after="283"/>
              <w:jc w:val="left"/>
              <w:rPr/>
            </w:pPr>
            <w:r>
              <w:rPr/>
              <w:t>Investment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(118</w:t>
            </w:r>
          </w:p>
        </w:tc>
        <w:tc>
          <w:tcPr>
            <w:tcW w:w="110" w:type="dxa"/>
            <w:tcBorders/>
            <w:shd w:fill="CCEEFF" w:val="clear"/>
            <w:vAlign w:val="center"/>
          </w:tcPr>
          <w:p>
            <w:pPr>
              <w:pStyle w:val="TableContents"/>
              <w:bidi w:val="0"/>
              <w:spacing w:before="0" w:after="283"/>
              <w:jc w:val="left"/>
              <w:rPr/>
            </w:pPr>
            <w:r>
              <w:rPr/>
              <w:t>)</w:t>
            </w:r>
          </w:p>
        </w:tc>
      </w:tr>
      <w:tr>
        <w:trPr/>
        <w:tc>
          <w:tcPr>
            <w:tcW w:w="4490" w:type="dxa"/>
            <w:tcBorders/>
            <w:vAlign w:val="center"/>
          </w:tcPr>
          <w:p>
            <w:pPr>
              <w:pStyle w:val="TableContents"/>
              <w:bidi w:val="0"/>
              <w:spacing w:before="0" w:after="283"/>
              <w:jc w:val="left"/>
              <w:rPr/>
            </w:pPr>
            <w:r>
              <w:rPr/>
              <w:t>Reversal of (Provision for) credit 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3,199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472</w:t>
            </w:r>
          </w:p>
        </w:tc>
        <w:tc>
          <w:tcPr>
            <w:tcW w:w="11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w:t>
            </w:r>
          </w:p>
        </w:tc>
        <w:tc>
          <w:tcPr>
            <w:tcW w:w="11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Financial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(2,954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(2,956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(436</w:t>
            </w:r>
          </w:p>
        </w:tc>
        <w:tc>
          <w:tcPr>
            <w:tcW w:w="110" w:type="dxa"/>
            <w:tcBorders/>
            <w:vAlign w:val="center"/>
          </w:tcPr>
          <w:p>
            <w:pPr>
              <w:pStyle w:val="TableContents"/>
              <w:bidi w:val="0"/>
              <w:spacing w:before="0" w:after="283"/>
              <w:jc w:val="left"/>
              <w:rPr/>
            </w:pPr>
            <w:r>
              <w:rPr/>
              <w:t>)</w:t>
            </w:r>
          </w:p>
        </w:tc>
      </w:tr>
      <w:tr>
        <w:trPr/>
        <w:tc>
          <w:tcPr>
            <w:tcW w:w="4490" w:type="dxa"/>
            <w:tcBorders/>
            <w:shd w:fill="CCEEFF" w:val="clear"/>
            <w:vAlign w:val="center"/>
          </w:tcPr>
          <w:p>
            <w:pPr>
              <w:pStyle w:val="TableContents"/>
              <w:bidi w:val="0"/>
              <w:spacing w:before="0" w:after="283"/>
              <w:jc w:val="left"/>
              <w:rPr/>
            </w:pPr>
            <w:r>
              <w:rPr/>
              <w:t>Others,net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(17,115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42,031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24,916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3,672</w:t>
            </w:r>
          </w:p>
        </w:tc>
        <w:tc>
          <w:tcPr>
            <w:tcW w:w="11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b/>
              </w:rPr>
            </w:pPr>
            <w:r>
              <w:rPr>
                <w:b/>
              </w:rPr>
              <w:t>Income before income taxes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b/>
              </w:rPr>
            </w:pPr>
            <w:r>
              <w:rPr>
                <w:b/>
              </w:rPr>
              <w:t>30,219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tcMar>
              <w:bottom w:w="28" w:type="dxa"/>
            </w:tcMar>
            <w:vAlign w:val="center"/>
          </w:tcPr>
          <w:p>
            <w:pPr>
              <w:pStyle w:val="TableContents"/>
              <w:bidi w:val="0"/>
              <w:spacing w:before="0" w:after="283"/>
              <w:jc w:val="right"/>
              <w:rPr>
                <w:b/>
              </w:rPr>
            </w:pPr>
            <w:r>
              <w:rPr>
                <w:b/>
              </w:rPr>
              <w:t>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b/>
              </w:rPr>
            </w:pPr>
            <w:r>
              <w:rPr>
                <w:b/>
              </w:rPr>
              <w:t>26,033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b/>
              </w:rPr>
            </w:pPr>
            <w:r>
              <w:rPr>
                <w:b/>
              </w:rPr>
              <w:t>56,276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b/>
              </w:rPr>
            </w:pPr>
            <w:r>
              <w:rPr>
                <w:b/>
              </w:rPr>
              <w:t>8,294</w:t>
            </w:r>
          </w:p>
        </w:tc>
        <w:tc>
          <w:tcPr>
            <w:tcW w:w="11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(5,223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(2,977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(8,200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(1,209</w:t>
            </w:r>
          </w:p>
        </w:tc>
        <w:tc>
          <w:tcPr>
            <w:tcW w:w="110" w:type="dxa"/>
            <w:tcBorders/>
            <w:shd w:fill="CCEEFF" w:val="clear"/>
            <w:vAlign w:val="center"/>
          </w:tcPr>
          <w:p>
            <w:pPr>
              <w:pStyle w:val="TableContents"/>
              <w:bidi w:val="0"/>
              <w:spacing w:before="0" w:after="283"/>
              <w:jc w:val="left"/>
              <w:rPr/>
            </w:pPr>
            <w:r>
              <w:rPr/>
              <w:t>)</w:t>
            </w:r>
          </w:p>
        </w:tc>
      </w:tr>
      <w:tr>
        <w:trPr/>
        <w:tc>
          <w:tcPr>
            <w:tcW w:w="4490" w:type="dxa"/>
            <w:tcBorders/>
            <w:vAlign w:val="center"/>
          </w:tcPr>
          <w:p>
            <w:pPr>
              <w:pStyle w:val="TableContents"/>
              <w:bidi w:val="0"/>
              <w:spacing w:before="0" w:after="283"/>
              <w:jc w:val="left"/>
              <w:rPr>
                <w:b/>
              </w:rPr>
            </w:pPr>
            <w:r>
              <w:rPr>
                <w:b/>
              </w:rPr>
              <w:t>Net income</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b/>
              </w:rPr>
            </w:pPr>
            <w:r>
              <w:rPr>
                <w:b/>
              </w:rPr>
              <w:t>24,996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tcMar>
              <w:bottom w:w="28" w:type="dxa"/>
            </w:tcMar>
            <w:vAlign w:val="center"/>
          </w:tcPr>
          <w:p>
            <w:pPr>
              <w:pStyle w:val="TableContents"/>
              <w:bidi w:val="0"/>
              <w:spacing w:before="0" w:after="283"/>
              <w:jc w:val="right"/>
              <w:rPr>
                <w:b/>
              </w:rPr>
            </w:pPr>
            <w:r>
              <w:rPr>
                <w:b/>
              </w:rPr>
              <w:t>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b/>
              </w:rPr>
            </w:pPr>
            <w:r>
              <w:rPr>
                <w:b/>
              </w:rPr>
              <w:t>23,056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b/>
              </w:rPr>
            </w:pPr>
            <w:r>
              <w:rPr>
                <w:b/>
              </w:rPr>
              <w:t>48,076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b/>
              </w:rPr>
            </w:pPr>
            <w:r>
              <w:rPr>
                <w:b/>
              </w:rPr>
              <w:t>7,085</w:t>
            </w:r>
          </w:p>
        </w:tc>
        <w:tc>
          <w:tcPr>
            <w:tcW w:w="11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31</w:t>
            </w:r>
          </w:p>
        </w:tc>
        <w:tc>
          <w:tcPr>
            <w:tcW w:w="11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b/>
              </w:rPr>
            </w:pPr>
            <w:r>
              <w:rPr>
                <w:b/>
              </w:rPr>
              <w:t>Net income attributable to AIFU Inc.</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b/>
              </w:rPr>
            </w:pPr>
            <w:r>
              <w:rPr>
                <w:b/>
              </w:rPr>
              <w:t>25,203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tcMar>
              <w:bottom w:w="28" w:type="dxa"/>
            </w:tcMar>
            <w:vAlign w:val="center"/>
          </w:tcPr>
          <w:p>
            <w:pPr>
              <w:pStyle w:val="TableContents"/>
              <w:bidi w:val="0"/>
              <w:spacing w:before="0" w:after="283"/>
              <w:jc w:val="right"/>
              <w:rPr>
                <w:b/>
              </w:rPr>
            </w:pPr>
            <w:r>
              <w:rPr>
                <w:b/>
              </w:rPr>
              <w:t>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b/>
              </w:rPr>
            </w:pPr>
            <w:r>
              <w:rPr>
                <w:b/>
              </w:rPr>
              <w:t>23,056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b/>
              </w:rPr>
            </w:pPr>
            <w:r>
              <w:rPr>
                <w:b/>
              </w:rPr>
              <w:t>48,283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b/>
              </w:rPr>
            </w:pPr>
            <w:r>
              <w:rPr>
                <w:b/>
              </w:rPr>
              <w:t>7,116</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shares and per share data)</w:t>
      </w:r>
    </w:p>
    <w:p>
      <w:pPr>
        <w:pStyle w:val="TextBody"/>
        <w:bidi w:val="0"/>
        <w:spacing w:before="0" w:after="0"/>
        <w:ind w:left="0" w:right="0" w:firstLine="360"/>
        <w:jc w:val="both"/>
        <w:rPr>
          <w:caps w:val="false"/>
          <w:smallCaps w:val="false"/>
        </w:rPr>
      </w:pPr>
      <w:r>
        <w:rPr>
          <w:caps w:val="false"/>
          <w:smallCaps w:val="false"/>
        </w:rPr>
        <w:t> </w:t>
      </w:r>
    </w:p>
    <w:tbl>
      <w:tblPr>
        <w:tblW w:w="9332" w:type="dxa"/>
        <w:jc w:val="left"/>
        <w:tblInd w:w="0" w:type="dxa"/>
        <w:tblLayout w:type="fixed"/>
        <w:tblCellMar>
          <w:top w:w="0" w:type="dxa"/>
          <w:left w:w="0" w:type="dxa"/>
          <w:bottom w:w="0" w:type="dxa"/>
          <w:right w:w="0" w:type="dxa"/>
        </w:tblCellMar>
      </w:tblPr>
      <w:tblGrid>
        <w:gridCol w:w="4985"/>
        <w:gridCol w:w="60"/>
        <w:gridCol w:w="77"/>
        <w:gridCol w:w="1134"/>
        <w:gridCol w:w="123"/>
        <w:gridCol w:w="77"/>
        <w:gridCol w:w="77"/>
        <w:gridCol w:w="1134"/>
        <w:gridCol w:w="123"/>
        <w:gridCol w:w="77"/>
        <w:gridCol w:w="86"/>
        <w:gridCol w:w="1269"/>
        <w:gridCol w:w="110"/>
      </w:tblGrid>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7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 2025</w:t>
            </w:r>
          </w:p>
        </w:tc>
        <w:tc>
          <w:tcPr>
            <w:tcW w:w="11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Agency</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2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Consolidated</w:t>
            </w:r>
          </w:p>
        </w:tc>
        <w:tc>
          <w:tcPr>
            <w:tcW w:w="11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2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77" w:type="dxa"/>
            <w:gridSpan w:val="10"/>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297,447</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297,447</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Operating costs and expenses:</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(142,567</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(142,567</w:t>
            </w:r>
          </w:p>
        </w:tc>
        <w:tc>
          <w:tcPr>
            <w:tcW w:w="110" w:type="dxa"/>
            <w:tcBorders/>
            <w:shd w:fill="CCEEFF" w:val="clear"/>
            <w:vAlign w:val="center"/>
          </w:tcPr>
          <w:p>
            <w:pPr>
              <w:pStyle w:val="TableContents"/>
              <w:bidi w:val="0"/>
              <w:spacing w:before="0" w:after="283"/>
              <w:jc w:val="left"/>
              <w:rPr/>
            </w:pPr>
            <w:r>
              <w:rPr/>
              <w:t>)</w:t>
            </w:r>
          </w:p>
        </w:tc>
      </w:tr>
      <w:tr>
        <w:trPr/>
        <w:tc>
          <w:tcPr>
            <w:tcW w:w="4985" w:type="dxa"/>
            <w:tcBorders/>
            <w:vAlign w:val="center"/>
          </w:tcPr>
          <w:p>
            <w:pPr>
              <w:pStyle w:val="TableContents"/>
              <w:bidi w:val="0"/>
              <w:spacing w:before="0" w:after="283"/>
              <w:jc w:val="left"/>
              <w:rPr/>
            </w:pPr>
            <w:r>
              <w:rPr/>
              <w:t>Selling expenses</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(33,228</w:t>
            </w:r>
          </w:p>
        </w:tc>
        <w:tc>
          <w:tcPr>
            <w:tcW w:w="123" w:type="dxa"/>
            <w:tcBorders/>
            <w:vAlign w:val="center"/>
          </w:tcPr>
          <w:p>
            <w:pPr>
              <w:pStyle w:val="TableContents"/>
              <w:bidi w:val="0"/>
              <w:spacing w:before="0" w:after="283"/>
              <w:jc w:val="left"/>
              <w:rPr/>
            </w:pPr>
            <w:r>
              <w:rPr/>
              <w:t>)</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10,057</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(23,171</w:t>
            </w:r>
          </w:p>
        </w:tc>
        <w:tc>
          <w:tcPr>
            <w:tcW w:w="110" w:type="dxa"/>
            <w:tcBorders/>
            <w:vAlign w:val="center"/>
          </w:tcPr>
          <w:p>
            <w:pPr>
              <w:pStyle w:val="TableContents"/>
              <w:bidi w:val="0"/>
              <w:spacing w:before="0" w:after="283"/>
              <w:jc w:val="left"/>
              <w:rPr/>
            </w:pPr>
            <w:r>
              <w:rPr/>
              <w:t>)</w:t>
            </w:r>
          </w:p>
        </w:tc>
      </w:tr>
      <w:tr>
        <w:trPr/>
        <w:tc>
          <w:tcPr>
            <w:tcW w:w="498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(88,327</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(51,180</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(139,507</w:t>
            </w:r>
          </w:p>
        </w:tc>
        <w:tc>
          <w:tcPr>
            <w:tcW w:w="110" w:type="dxa"/>
            <w:tcBorders/>
            <w:shd w:fill="CCEEFF" w:val="clear"/>
            <w:vAlign w:val="center"/>
          </w:tcPr>
          <w:p>
            <w:pPr>
              <w:pStyle w:val="TableContents"/>
              <w:bidi w:val="0"/>
              <w:spacing w:before="0" w:after="283"/>
              <w:jc w:val="left"/>
              <w:rPr/>
            </w:pPr>
            <w:r>
              <w:rPr/>
              <w:t>)</w:t>
            </w:r>
          </w:p>
        </w:tc>
      </w:tr>
      <w:tr>
        <w:trPr/>
        <w:tc>
          <w:tcPr>
            <w:tcW w:w="4985" w:type="dxa"/>
            <w:tcBorders/>
            <w:vAlign w:val="center"/>
          </w:tcPr>
          <w:p>
            <w:pPr>
              <w:pStyle w:val="TableContents"/>
              <w:bidi w:val="0"/>
              <w:spacing w:before="0" w:after="283"/>
              <w:jc w:val="left"/>
              <w:rPr/>
            </w:pPr>
            <w:r>
              <w:rPr/>
              <w:t>Impairment loss</w:t>
            </w:r>
          </w:p>
        </w:tc>
        <w:tc>
          <w:tcPr>
            <w:tcW w:w="60" w:type="dxa"/>
            <w:tcBorders/>
            <w:vAlign w:val="center"/>
          </w:tcPr>
          <w:p>
            <w:pPr>
              <w:pStyle w:val="TableContents"/>
              <w:bidi w:val="0"/>
              <w:spacing w:before="0" w:after="283"/>
              <w:jc w:val="left"/>
              <w:rPr/>
            </w:pPr>
            <w:r>
              <w:rPr/>
              <w:t> </w:t>
            </w:r>
          </w:p>
        </w:tc>
        <w:tc>
          <w:tcPr>
            <w:tcW w:w="7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tcMar>
              <w:bottom w:w="28" w:type="dxa"/>
            </w:tcMar>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b/>
              </w:rPr>
            </w:pPr>
            <w:r>
              <w:rPr>
                <w:b/>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(264,122</w:t>
            </w:r>
          </w:p>
        </w:tc>
        <w:tc>
          <w:tcPr>
            <w:tcW w:w="123" w:type="dxa"/>
            <w:tcBorders/>
            <w:shd w:fill="CCEEFF" w:val="clear"/>
            <w:vAlign w:val="center"/>
          </w:tcPr>
          <w:p>
            <w:pPr>
              <w:pStyle w:val="TableContents"/>
              <w:bidi w:val="0"/>
              <w:spacing w:before="0" w:after="283"/>
              <w:jc w:val="left"/>
              <w:rPr>
                <w:b/>
              </w:rPr>
            </w:pPr>
            <w:r>
              <w:rPr>
                <w:b/>
              </w:rPr>
              <w:t>)</w:t>
            </w:r>
          </w:p>
        </w:tc>
        <w:tc>
          <w:tcPr>
            <w:tcW w:w="77"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(41,123</w:t>
            </w:r>
          </w:p>
        </w:tc>
        <w:tc>
          <w:tcPr>
            <w:tcW w:w="123" w:type="dxa"/>
            <w:tcBorders/>
            <w:shd w:fill="CCEEFF" w:val="clear"/>
            <w:vAlign w:val="center"/>
          </w:tcPr>
          <w:p>
            <w:pPr>
              <w:pStyle w:val="TableContents"/>
              <w:bidi w:val="0"/>
              <w:spacing w:before="0" w:after="283"/>
              <w:jc w:val="left"/>
              <w:rPr>
                <w:b/>
              </w:rPr>
            </w:pPr>
            <w:r>
              <w:rPr>
                <w:b/>
              </w:rPr>
              <w:t>)</w:t>
            </w:r>
          </w:p>
        </w:tc>
        <w:tc>
          <w:tcPr>
            <w:tcW w:w="77"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(305,245</w:t>
            </w:r>
          </w:p>
        </w:tc>
        <w:tc>
          <w:tcPr>
            <w:tcW w:w="110" w:type="dxa"/>
            <w:tcBorders/>
            <w:shd w:fill="CCEEFF" w:val="clear"/>
            <w:vAlign w:val="center"/>
          </w:tcPr>
          <w:p>
            <w:pPr>
              <w:pStyle w:val="TableContents"/>
              <w:bidi w:val="0"/>
              <w:spacing w:before="0" w:after="283"/>
              <w:jc w:val="left"/>
              <w:rPr>
                <w:b/>
              </w:rPr>
            </w:pPr>
            <w:r>
              <w:rPr>
                <w:b/>
              </w:rPr>
              <w:t>)</w:t>
            </w:r>
          </w:p>
        </w:tc>
      </w:tr>
      <w:tr>
        <w:trPr/>
        <w:tc>
          <w:tcPr>
            <w:tcW w:w="4985" w:type="dxa"/>
            <w:tcBorders/>
            <w:vAlign w:val="center"/>
          </w:tcPr>
          <w:p>
            <w:pPr>
              <w:pStyle w:val="TableContents"/>
              <w:bidi w:val="0"/>
              <w:spacing w:before="0" w:after="283"/>
              <w:jc w:val="left"/>
              <w:rPr>
                <w:b/>
              </w:rPr>
            </w:pPr>
            <w:r>
              <w:rPr>
                <w:b/>
              </w:rPr>
              <w:t>Operating profit (loss)</w:t>
            </w:r>
          </w:p>
        </w:tc>
        <w:tc>
          <w:tcPr>
            <w:tcW w:w="60" w:type="dxa"/>
            <w:tcBorders/>
            <w:vAlign w:val="center"/>
          </w:tcPr>
          <w:p>
            <w:pPr>
              <w:pStyle w:val="TableContents"/>
              <w:bidi w:val="0"/>
              <w:spacing w:before="0" w:after="283"/>
              <w:jc w:val="left"/>
              <w:rPr/>
            </w:pPr>
            <w:r>
              <w:rPr/>
              <w:t> </w:t>
            </w:r>
          </w:p>
        </w:tc>
        <w:tc>
          <w:tcPr>
            <w:tcW w:w="7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tcMar>
              <w:bottom w:w="28" w:type="dxa"/>
            </w:tcMar>
            <w:vAlign w:val="center"/>
          </w:tcPr>
          <w:p>
            <w:pPr>
              <w:pStyle w:val="TableContents"/>
              <w:bidi w:val="0"/>
              <w:spacing w:before="0" w:after="283"/>
              <w:jc w:val="right"/>
              <w:rPr>
                <w:b/>
              </w:rPr>
            </w:pPr>
            <w:r>
              <w:rPr>
                <w:b/>
              </w:rPr>
              <w:t>33,325</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tcMar>
              <w:bottom w:w="28" w:type="dxa"/>
            </w:tcMar>
            <w:vAlign w:val="center"/>
          </w:tcPr>
          <w:p>
            <w:pPr>
              <w:pStyle w:val="TableContents"/>
              <w:bidi w:val="0"/>
              <w:spacing w:before="0" w:after="283"/>
              <w:jc w:val="right"/>
              <w:rPr>
                <w:b/>
              </w:rPr>
            </w:pPr>
            <w:r>
              <w:rPr>
                <w:b/>
              </w:rPr>
              <w:t>(41,123</w:t>
            </w:r>
          </w:p>
        </w:tc>
        <w:tc>
          <w:tcPr>
            <w:tcW w:w="123" w:type="dxa"/>
            <w:tcBorders/>
            <w:vAlign w:val="center"/>
          </w:tcPr>
          <w:p>
            <w:pPr>
              <w:pStyle w:val="TableContents"/>
              <w:bidi w:val="0"/>
              <w:spacing w:before="0" w:after="283"/>
              <w:jc w:val="left"/>
              <w:rPr>
                <w:b/>
              </w:rPr>
            </w:pPr>
            <w:r>
              <w:rPr>
                <w:b/>
              </w:rPr>
              <w:t>)</w:t>
            </w:r>
          </w:p>
        </w:tc>
        <w:tc>
          <w:tcPr>
            <w:tcW w:w="77" w:type="dxa"/>
            <w:tcBorders/>
            <w:vAlign w:val="center"/>
          </w:tcPr>
          <w:p>
            <w:pPr>
              <w:pStyle w:val="TableContents"/>
              <w:bidi w:val="0"/>
              <w:spacing w:before="0" w:after="283"/>
              <w:jc w:val="left"/>
              <w:rPr/>
            </w:pPr>
            <w:r>
              <w:rPr/>
              <w:t> </w:t>
            </w:r>
          </w:p>
        </w:tc>
        <w:tc>
          <w:tcPr>
            <w:tcW w:w="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tcMar>
              <w:bottom w:w="28" w:type="dxa"/>
            </w:tcMar>
            <w:vAlign w:val="center"/>
          </w:tcPr>
          <w:p>
            <w:pPr>
              <w:pStyle w:val="TableContents"/>
              <w:bidi w:val="0"/>
              <w:spacing w:before="0" w:after="283"/>
              <w:jc w:val="right"/>
              <w:rPr>
                <w:b/>
              </w:rPr>
            </w:pPr>
            <w:r>
              <w:rPr>
                <w:b/>
              </w:rPr>
              <w:t>(7,798</w:t>
            </w:r>
          </w:p>
        </w:tc>
        <w:tc>
          <w:tcPr>
            <w:tcW w:w="110" w:type="dxa"/>
            <w:tcBorders/>
            <w:vAlign w:val="center"/>
          </w:tcPr>
          <w:p>
            <w:pPr>
              <w:pStyle w:val="TableContents"/>
              <w:bidi w:val="0"/>
              <w:spacing w:before="0" w:after="283"/>
              <w:jc w:val="left"/>
              <w:rPr>
                <w:b/>
              </w:rPr>
            </w:pPr>
            <w:r>
              <w:rPr>
                <w:b/>
              </w:rPr>
              <w:t>)</w:t>
            </w:r>
          </w:p>
        </w:tc>
      </w:tr>
      <w:tr>
        <w:trPr/>
        <w:tc>
          <w:tcPr>
            <w:tcW w:w="4985" w:type="dxa"/>
            <w:tcBorders/>
            <w:shd w:fill="CCEEFF" w:val="clear"/>
            <w:vAlign w:val="center"/>
          </w:tcPr>
          <w:p>
            <w:pPr>
              <w:pStyle w:val="TableContents"/>
              <w:bidi w:val="0"/>
              <w:spacing w:before="0" w:after="283"/>
              <w:jc w:val="left"/>
              <w:rPr/>
            </w:pPr>
            <w:r>
              <w:rPr/>
              <w:t>Loss from fair value change</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(17,960</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(17,960</w:t>
            </w:r>
          </w:p>
        </w:tc>
        <w:tc>
          <w:tcPr>
            <w:tcW w:w="110" w:type="dxa"/>
            <w:tcBorders/>
            <w:shd w:fill="CCEEFF" w:val="clear"/>
            <w:vAlign w:val="center"/>
          </w:tcPr>
          <w:p>
            <w:pPr>
              <w:pStyle w:val="TableContents"/>
              <w:bidi w:val="0"/>
              <w:spacing w:before="0" w:after="283"/>
              <w:jc w:val="left"/>
              <w:rPr/>
            </w:pPr>
            <w:r>
              <w:rPr/>
              <w:t>)</w:t>
            </w:r>
          </w:p>
        </w:tc>
      </w:tr>
      <w:tr>
        <w:trPr/>
        <w:tc>
          <w:tcPr>
            <w:tcW w:w="4985" w:type="dxa"/>
            <w:tcBorders/>
            <w:vAlign w:val="center"/>
          </w:tcPr>
          <w:p>
            <w:pPr>
              <w:pStyle w:val="TableContents"/>
              <w:bidi w:val="0"/>
              <w:spacing w:before="0" w:after="283"/>
              <w:jc w:val="left"/>
              <w:rPr/>
            </w:pPr>
            <w:r>
              <w:rPr/>
              <w:t>Investment income</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10</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5,015</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5,025</w:t>
            </w:r>
          </w:p>
        </w:tc>
        <w:tc>
          <w:tcPr>
            <w:tcW w:w="11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Gains from disposal of subsidiaries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6,313</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6,313</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Interest income</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16</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16,605</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16,621</w:t>
            </w:r>
          </w:p>
        </w:tc>
        <w:tc>
          <w:tcPr>
            <w:tcW w:w="11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Financial cost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(2,209</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(2,209</w:t>
            </w:r>
          </w:p>
        </w:tc>
        <w:tc>
          <w:tcPr>
            <w:tcW w:w="110" w:type="dxa"/>
            <w:tcBorders/>
            <w:shd w:fill="CCEEFF" w:val="clear"/>
            <w:vAlign w:val="center"/>
          </w:tcPr>
          <w:p>
            <w:pPr>
              <w:pStyle w:val="TableContents"/>
              <w:bidi w:val="0"/>
              <w:spacing w:before="0" w:after="283"/>
              <w:jc w:val="left"/>
              <w:rPr/>
            </w:pPr>
            <w:r>
              <w:rPr/>
              <w:t>)</w:t>
            </w:r>
          </w:p>
        </w:tc>
      </w:tr>
      <w:tr>
        <w:trPr/>
        <w:tc>
          <w:tcPr>
            <w:tcW w:w="4985" w:type="dxa"/>
            <w:tcBorders/>
            <w:vAlign w:val="center"/>
          </w:tcPr>
          <w:p>
            <w:pPr>
              <w:pStyle w:val="TableContents"/>
              <w:bidi w:val="0"/>
              <w:spacing w:before="0" w:after="283"/>
              <w:jc w:val="left"/>
              <w:rPr/>
            </w:pPr>
            <w:r>
              <w:rPr/>
              <w:t>Provision for credit losses</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(37</w:t>
            </w:r>
          </w:p>
        </w:tc>
        <w:tc>
          <w:tcPr>
            <w:tcW w:w="123" w:type="dxa"/>
            <w:tcBorders/>
            <w:vAlign w:val="center"/>
          </w:tcPr>
          <w:p>
            <w:pPr>
              <w:pStyle w:val="TableContents"/>
              <w:bidi w:val="0"/>
              <w:spacing w:before="0" w:after="283"/>
              <w:jc w:val="left"/>
              <w:rPr/>
            </w:pPr>
            <w:r>
              <w:rPr/>
              <w:t>)</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(487,546</w:t>
            </w:r>
          </w:p>
        </w:tc>
        <w:tc>
          <w:tcPr>
            <w:tcW w:w="123" w:type="dxa"/>
            <w:tcBorders/>
            <w:vAlign w:val="center"/>
          </w:tcPr>
          <w:p>
            <w:pPr>
              <w:pStyle w:val="TableContents"/>
              <w:bidi w:val="0"/>
              <w:spacing w:before="0" w:after="283"/>
              <w:jc w:val="left"/>
              <w:rPr/>
            </w:pPr>
            <w:r>
              <w:rPr/>
              <w:t>)</w:t>
            </w:r>
          </w:p>
        </w:tc>
        <w:tc>
          <w:tcPr>
            <w:tcW w:w="77"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(487,583</w:t>
            </w:r>
          </w:p>
        </w:tc>
        <w:tc>
          <w:tcPr>
            <w:tcW w:w="110" w:type="dxa"/>
            <w:tcBorders/>
            <w:vAlign w:val="center"/>
          </w:tcPr>
          <w:p>
            <w:pPr>
              <w:pStyle w:val="TableContents"/>
              <w:bidi w:val="0"/>
              <w:spacing w:before="0" w:after="283"/>
              <w:jc w:val="left"/>
              <w:rPr/>
            </w:pPr>
            <w:r>
              <w:rPr/>
              <w:t>)</w:t>
            </w:r>
          </w:p>
        </w:tc>
      </w:tr>
      <w:tr>
        <w:trPr/>
        <w:tc>
          <w:tcPr>
            <w:tcW w:w="4985" w:type="dxa"/>
            <w:tcBorders/>
            <w:shd w:fill="CCEEFF" w:val="clear"/>
            <w:vAlign w:val="center"/>
          </w:tcPr>
          <w:p>
            <w:pPr>
              <w:pStyle w:val="TableContents"/>
              <w:bidi w:val="0"/>
              <w:spacing w:before="0" w:after="283"/>
              <w:jc w:val="left"/>
              <w:rPr/>
            </w:pPr>
            <w:r>
              <w:rPr/>
              <w:t>Others,net</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22,573</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22,646</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b/>
              </w:rPr>
            </w:pPr>
            <w:r>
              <w:rPr>
                <w:b/>
              </w:rPr>
              <w:t>Income (Loss) before income taxes</w:t>
            </w:r>
          </w:p>
        </w:tc>
        <w:tc>
          <w:tcPr>
            <w:tcW w:w="60" w:type="dxa"/>
            <w:tcBorders/>
            <w:vAlign w:val="center"/>
          </w:tcPr>
          <w:p>
            <w:pPr>
              <w:pStyle w:val="TableContents"/>
              <w:bidi w:val="0"/>
              <w:spacing w:before="0" w:after="283"/>
              <w:jc w:val="left"/>
              <w:rPr/>
            </w:pPr>
            <w:r>
              <w:rPr/>
              <w:t> </w:t>
            </w:r>
          </w:p>
        </w:tc>
        <w:tc>
          <w:tcPr>
            <w:tcW w:w="7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tcMar>
              <w:bottom w:w="28" w:type="dxa"/>
            </w:tcMar>
            <w:vAlign w:val="center"/>
          </w:tcPr>
          <w:p>
            <w:pPr>
              <w:pStyle w:val="TableContents"/>
              <w:bidi w:val="0"/>
              <w:spacing w:before="0" w:after="283"/>
              <w:jc w:val="right"/>
              <w:rPr>
                <w:b/>
              </w:rPr>
            </w:pPr>
            <w:r>
              <w:rPr>
                <w:b/>
              </w:rPr>
              <w:t>31,178</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tcMar>
              <w:bottom w:w="28" w:type="dxa"/>
            </w:tcMar>
            <w:vAlign w:val="center"/>
          </w:tcPr>
          <w:p>
            <w:pPr>
              <w:pStyle w:val="TableContents"/>
              <w:bidi w:val="0"/>
              <w:spacing w:before="0" w:after="283"/>
              <w:jc w:val="right"/>
              <w:rPr>
                <w:b/>
              </w:rPr>
            </w:pPr>
            <w:r>
              <w:rPr>
                <w:b/>
              </w:rPr>
              <w:t>(496,123</w:t>
            </w:r>
          </w:p>
        </w:tc>
        <w:tc>
          <w:tcPr>
            <w:tcW w:w="123" w:type="dxa"/>
            <w:tcBorders/>
            <w:vAlign w:val="center"/>
          </w:tcPr>
          <w:p>
            <w:pPr>
              <w:pStyle w:val="TableContents"/>
              <w:bidi w:val="0"/>
              <w:spacing w:before="0" w:after="283"/>
              <w:jc w:val="left"/>
              <w:rPr>
                <w:b/>
              </w:rPr>
            </w:pPr>
            <w:r>
              <w:rPr>
                <w:b/>
              </w:rPr>
              <w:t>)</w:t>
            </w:r>
          </w:p>
        </w:tc>
        <w:tc>
          <w:tcPr>
            <w:tcW w:w="77" w:type="dxa"/>
            <w:tcBorders/>
            <w:vAlign w:val="center"/>
          </w:tcPr>
          <w:p>
            <w:pPr>
              <w:pStyle w:val="TableContents"/>
              <w:bidi w:val="0"/>
              <w:spacing w:before="0" w:after="283"/>
              <w:jc w:val="left"/>
              <w:rPr/>
            </w:pPr>
            <w:r>
              <w:rPr/>
              <w:t> </w:t>
            </w:r>
          </w:p>
        </w:tc>
        <w:tc>
          <w:tcPr>
            <w:tcW w:w="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tcMar>
              <w:bottom w:w="28" w:type="dxa"/>
            </w:tcMar>
            <w:vAlign w:val="center"/>
          </w:tcPr>
          <w:p>
            <w:pPr>
              <w:pStyle w:val="TableContents"/>
              <w:bidi w:val="0"/>
              <w:spacing w:before="0" w:after="283"/>
              <w:jc w:val="right"/>
              <w:rPr>
                <w:b/>
              </w:rPr>
            </w:pPr>
            <w:r>
              <w:rPr>
                <w:b/>
              </w:rPr>
              <w:t>(464,945</w:t>
            </w:r>
          </w:p>
        </w:tc>
        <w:tc>
          <w:tcPr>
            <w:tcW w:w="110" w:type="dxa"/>
            <w:tcBorders/>
            <w:vAlign w:val="center"/>
          </w:tcPr>
          <w:p>
            <w:pPr>
              <w:pStyle w:val="TableContents"/>
              <w:bidi w:val="0"/>
              <w:spacing w:before="0" w:after="283"/>
              <w:jc w:val="left"/>
              <w:rPr>
                <w:b/>
              </w:rPr>
            </w:pPr>
            <w:r>
              <w:rPr>
                <w:b/>
              </w:rPr>
              <w:t>)</w:t>
            </w:r>
          </w:p>
        </w:tc>
      </w:tr>
      <w:tr>
        <w:trPr/>
        <w:tc>
          <w:tcPr>
            <w:tcW w:w="4985"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(5,940</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(2,460</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(8,400</w:t>
            </w:r>
          </w:p>
        </w:tc>
        <w:tc>
          <w:tcPr>
            <w:tcW w:w="110" w:type="dxa"/>
            <w:tcBorders/>
            <w:shd w:fill="CCEEFF" w:val="clear"/>
            <w:vAlign w:val="center"/>
          </w:tcPr>
          <w:p>
            <w:pPr>
              <w:pStyle w:val="TableContents"/>
              <w:bidi w:val="0"/>
              <w:spacing w:before="0" w:after="283"/>
              <w:jc w:val="left"/>
              <w:rPr/>
            </w:pPr>
            <w:r>
              <w:rPr/>
              <w:t>)</w:t>
            </w:r>
          </w:p>
        </w:tc>
      </w:tr>
      <w:tr>
        <w:trPr/>
        <w:tc>
          <w:tcPr>
            <w:tcW w:w="4985" w:type="dxa"/>
            <w:tcBorders/>
            <w:vAlign w:val="center"/>
          </w:tcPr>
          <w:p>
            <w:pPr>
              <w:pStyle w:val="TableContents"/>
              <w:bidi w:val="0"/>
              <w:spacing w:before="0" w:after="283"/>
              <w:jc w:val="left"/>
              <w:rPr>
                <w:b/>
              </w:rPr>
            </w:pPr>
            <w:r>
              <w:rPr>
                <w:b/>
              </w:rPr>
              <w:t>Net income (loss)</w:t>
            </w:r>
          </w:p>
        </w:tc>
        <w:tc>
          <w:tcPr>
            <w:tcW w:w="60" w:type="dxa"/>
            <w:tcBorders/>
            <w:vAlign w:val="center"/>
          </w:tcPr>
          <w:p>
            <w:pPr>
              <w:pStyle w:val="TableContents"/>
              <w:bidi w:val="0"/>
              <w:spacing w:before="0" w:after="283"/>
              <w:jc w:val="left"/>
              <w:rPr/>
            </w:pPr>
            <w:r>
              <w:rPr/>
              <w:t> </w:t>
            </w:r>
          </w:p>
        </w:tc>
        <w:tc>
          <w:tcPr>
            <w:tcW w:w="7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tcMar>
              <w:bottom w:w="28" w:type="dxa"/>
            </w:tcMar>
            <w:vAlign w:val="center"/>
          </w:tcPr>
          <w:p>
            <w:pPr>
              <w:pStyle w:val="TableContents"/>
              <w:bidi w:val="0"/>
              <w:spacing w:before="0" w:after="283"/>
              <w:jc w:val="right"/>
              <w:rPr>
                <w:b/>
              </w:rPr>
            </w:pPr>
            <w:r>
              <w:rPr>
                <w:b/>
              </w:rPr>
              <w:t>25,238</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tcMar>
              <w:bottom w:w="28" w:type="dxa"/>
            </w:tcMar>
            <w:vAlign w:val="center"/>
          </w:tcPr>
          <w:p>
            <w:pPr>
              <w:pStyle w:val="TableContents"/>
              <w:bidi w:val="0"/>
              <w:spacing w:before="0" w:after="283"/>
              <w:jc w:val="right"/>
              <w:rPr>
                <w:b/>
              </w:rPr>
            </w:pPr>
            <w:r>
              <w:rPr>
                <w:b/>
              </w:rPr>
              <w:t>(498,583</w:t>
            </w:r>
          </w:p>
        </w:tc>
        <w:tc>
          <w:tcPr>
            <w:tcW w:w="123" w:type="dxa"/>
            <w:tcBorders/>
            <w:vAlign w:val="center"/>
          </w:tcPr>
          <w:p>
            <w:pPr>
              <w:pStyle w:val="TableContents"/>
              <w:bidi w:val="0"/>
              <w:spacing w:before="0" w:after="283"/>
              <w:jc w:val="left"/>
              <w:rPr>
                <w:b/>
              </w:rPr>
            </w:pPr>
            <w:r>
              <w:rPr>
                <w:b/>
              </w:rPr>
              <w:t>)</w:t>
            </w:r>
          </w:p>
        </w:tc>
        <w:tc>
          <w:tcPr>
            <w:tcW w:w="77" w:type="dxa"/>
            <w:tcBorders/>
            <w:vAlign w:val="center"/>
          </w:tcPr>
          <w:p>
            <w:pPr>
              <w:pStyle w:val="TableContents"/>
              <w:bidi w:val="0"/>
              <w:spacing w:before="0" w:after="283"/>
              <w:jc w:val="left"/>
              <w:rPr/>
            </w:pPr>
            <w:r>
              <w:rPr/>
              <w:t> </w:t>
            </w:r>
          </w:p>
        </w:tc>
        <w:tc>
          <w:tcPr>
            <w:tcW w:w="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tcMar>
              <w:bottom w:w="28" w:type="dxa"/>
            </w:tcMar>
            <w:vAlign w:val="center"/>
          </w:tcPr>
          <w:p>
            <w:pPr>
              <w:pStyle w:val="TableContents"/>
              <w:bidi w:val="0"/>
              <w:spacing w:before="0" w:after="283"/>
              <w:jc w:val="right"/>
              <w:rPr>
                <w:b/>
              </w:rPr>
            </w:pPr>
            <w:r>
              <w:rPr>
                <w:b/>
              </w:rPr>
              <w:t>(473,345</w:t>
            </w:r>
          </w:p>
        </w:tc>
        <w:tc>
          <w:tcPr>
            <w:tcW w:w="110" w:type="dxa"/>
            <w:tcBorders/>
            <w:vAlign w:val="center"/>
          </w:tcPr>
          <w:p>
            <w:pPr>
              <w:pStyle w:val="TableContents"/>
              <w:bidi w:val="0"/>
              <w:spacing w:before="0" w:after="283"/>
              <w:jc w:val="left"/>
              <w:rPr>
                <w:b/>
              </w:rPr>
            </w:pPr>
            <w:r>
              <w:rPr>
                <w:b/>
              </w:rPr>
              <w:t>)</w:t>
            </w:r>
          </w:p>
        </w:tc>
      </w:tr>
      <w:tr>
        <w:trPr/>
        <w:tc>
          <w:tcPr>
            <w:tcW w:w="4985" w:type="dxa"/>
            <w:tcBorders/>
            <w:shd w:fill="CCEEFF" w:val="clear"/>
            <w:vAlign w:val="center"/>
          </w:tcPr>
          <w:p>
            <w:pPr>
              <w:pStyle w:val="TableContents"/>
              <w:bidi w:val="0"/>
              <w:spacing w:before="0" w:after="283"/>
              <w:jc w:val="left"/>
              <w:rPr/>
            </w:pPr>
            <w:r>
              <w:rPr/>
              <w:t>Less: 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4,406</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4,406</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b/>
              </w:rPr>
            </w:pPr>
            <w:r>
              <w:rPr>
                <w:b/>
              </w:rPr>
              <w:t>Net income (loss) attributable to AIFU Inc.</w:t>
            </w:r>
          </w:p>
        </w:tc>
        <w:tc>
          <w:tcPr>
            <w:tcW w:w="60" w:type="dxa"/>
            <w:tcBorders/>
            <w:vAlign w:val="center"/>
          </w:tcPr>
          <w:p>
            <w:pPr>
              <w:pStyle w:val="TableContents"/>
              <w:bidi w:val="0"/>
              <w:spacing w:before="0" w:after="283"/>
              <w:jc w:val="left"/>
              <w:rPr/>
            </w:pPr>
            <w:r>
              <w:rPr/>
              <w:t> </w:t>
            </w:r>
          </w:p>
        </w:tc>
        <w:tc>
          <w:tcPr>
            <w:tcW w:w="7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tcMar>
              <w:bottom w:w="28" w:type="dxa"/>
            </w:tcMar>
            <w:vAlign w:val="center"/>
          </w:tcPr>
          <w:p>
            <w:pPr>
              <w:pStyle w:val="TableContents"/>
              <w:bidi w:val="0"/>
              <w:spacing w:before="0" w:after="283"/>
              <w:jc w:val="right"/>
              <w:rPr>
                <w:b/>
              </w:rPr>
            </w:pPr>
            <w:r>
              <w:rPr>
                <w:b/>
              </w:rPr>
              <w:t>29,644</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tcMar>
              <w:bottom w:w="28" w:type="dxa"/>
            </w:tcMar>
            <w:vAlign w:val="center"/>
          </w:tcPr>
          <w:p>
            <w:pPr>
              <w:pStyle w:val="TableContents"/>
              <w:bidi w:val="0"/>
              <w:spacing w:before="0" w:after="283"/>
              <w:jc w:val="right"/>
              <w:rPr>
                <w:b/>
              </w:rPr>
            </w:pPr>
            <w:r>
              <w:rPr>
                <w:b/>
              </w:rPr>
              <w:t>(498,583</w:t>
            </w:r>
          </w:p>
        </w:tc>
        <w:tc>
          <w:tcPr>
            <w:tcW w:w="123" w:type="dxa"/>
            <w:tcBorders/>
            <w:vAlign w:val="center"/>
          </w:tcPr>
          <w:p>
            <w:pPr>
              <w:pStyle w:val="TableContents"/>
              <w:bidi w:val="0"/>
              <w:spacing w:before="0" w:after="283"/>
              <w:jc w:val="left"/>
              <w:rPr>
                <w:b/>
              </w:rPr>
            </w:pPr>
            <w:r>
              <w:rPr>
                <w:b/>
              </w:rPr>
              <w:t>)</w:t>
            </w:r>
          </w:p>
        </w:tc>
        <w:tc>
          <w:tcPr>
            <w:tcW w:w="77" w:type="dxa"/>
            <w:tcBorders/>
            <w:vAlign w:val="center"/>
          </w:tcPr>
          <w:p>
            <w:pPr>
              <w:pStyle w:val="TableContents"/>
              <w:bidi w:val="0"/>
              <w:spacing w:before="0" w:after="283"/>
              <w:jc w:val="left"/>
              <w:rPr/>
            </w:pPr>
            <w:r>
              <w:rPr/>
              <w:t> </w:t>
            </w:r>
          </w:p>
        </w:tc>
        <w:tc>
          <w:tcPr>
            <w:tcW w:w="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tcMar>
              <w:bottom w:w="28" w:type="dxa"/>
            </w:tcMar>
            <w:vAlign w:val="center"/>
          </w:tcPr>
          <w:p>
            <w:pPr>
              <w:pStyle w:val="TableContents"/>
              <w:bidi w:val="0"/>
              <w:spacing w:before="0" w:after="283"/>
              <w:jc w:val="right"/>
              <w:rPr>
                <w:b/>
              </w:rPr>
            </w:pPr>
            <w:r>
              <w:rPr>
                <w:b/>
              </w:rPr>
              <w:t>(468,939</w:t>
            </w:r>
          </w:p>
        </w:tc>
        <w:tc>
          <w:tcPr>
            <w:tcW w:w="110" w:type="dxa"/>
            <w:tcBorders/>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Group’s revenues for the six months ended June 30, 2025 and 2026 were generated from the PRC. A substantial portion of the identifiable assets of the Group is located in the PRC. Accordingly, no geographical segments are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(23) Subsequent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9, 2026, the Group entered into a share subscription agreement with Expansion Group Ltd. (“Expansion”), pursuant to which Expansion will subscribe for 10,000,000 Class B ordinary shares of the Group, at a price of US$0.002 per Share, which is the par value of the Class B ordinary share, for a total consideration of US$20,000 (the “Issuance”). The Issuance was completed on September 24, 2026. Following the Issuance, Expansion beneficially owned 13 Class A ordinary shares and 10,250,000 Class B ordinary shares of the Group, representing 63.37% of the total issued and outstanding ordinary shares of the Group, and 99.43% of the aggregate voting power of the Group as of September 24, 2026.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24, 2026, the Group entered into a definitive share purchase agreement with certain investors, pursuant to which the investors have agreed to subscribe for, and the Group has agreed to issue and sell to the investors, (i) an aggregate of 45,000,000 Class A ordinary shares, par value US$0.002 per share, of the Group, at a price of $3.0 per share, and (ii) a warrant to purchase up to 90,000,000 additional Class A ordinary shares of the Group. 50% of the warrant will be exercisable at 200% of the Per Share Purchase Price, with the remaining 50% exercisable at 250%. The transaction is expected to generate approximately $135.0 million in gross proceeds from the Share Issuance. Closing of the transaction is expected to occur by the end of October 2026.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F-46</w:t>
      </w:r>
    </w:p>
    <w:p>
      <w:pPr>
        <w:pStyle w:val="TextBody"/>
        <w:bidi w:val="0"/>
        <w:spacing w:before="0" w:after="0"/>
        <w:ind w:left="0" w:right="0" w:firstLine="36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3855/000121390026061007/ea0292142-f3_aifu.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28222</Words>
  <Characters>155002</Characters>
  <CharactersWithSpaces>186875</CharactersWithSpaces>
  <Paragraphs>10805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