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0" w:name="filename1.htm"/>
      <w:bookmarkStart w:id="1" w:name="ksfilename1"/>
      <w:bookmarkEnd w:id="0"/>
      <w:bookmarkEnd w:id="1"/>
      <w:r>
        <w:rPr>
          <w:rFonts w:ascii="Times New Roman;Times;Serif" w:hAnsi="Times New Roman;Times;Serif"/>
          <w:b w:val="false"/>
          <w:i w:val="false"/>
          <w:caps w:val="false"/>
          <w:smallCaps w:val="false"/>
          <w:sz w:val="20"/>
        </w:rPr>
        <w:t>May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EDGAR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  </w:t>
      </w:r>
    </w:p>
    <w:p>
      <w:pPr>
        <w:pStyle w:val="TextBody"/>
        <w:bidi w:val="0"/>
        <w:spacing w:before="0" w:after="0"/>
        <w:ind w:left="0" w:right="0" w:hanging="0"/>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75"/>
        <w:gridCol w:w="305"/>
        <w:gridCol w:w="4955"/>
      </w:tblGrid>
      <w:tr>
        <w:trPr/>
        <w:tc>
          <w:tcPr>
            <w:tcW w:w="75"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w:t>
            </w:r>
          </w:p>
        </w:tc>
        <w:tc>
          <w:tcPr>
            <w:tcW w:w="49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AIFU Inc. (CIK No. 0001413855)</w:t>
            </w:r>
          </w:p>
        </w:tc>
      </w:tr>
      <w:tr>
        <w:trPr/>
        <w:tc>
          <w:tcPr>
            <w:tcW w:w="75"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pPr>
            <w:r>
              <w:rPr/>
              <w:t> </w:t>
            </w:r>
          </w:p>
        </w:tc>
        <w:tc>
          <w:tcPr>
            <w:tcW w:w="4955"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on Form F-3 (File No. 333-296229)</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Acceleration Request</w:t>
            </w:r>
          </w:p>
        </w:tc>
      </w:tr>
    </w:tbl>
    <w:p>
      <w:pPr>
        <w:pStyle w:val="TextBody"/>
        <w:bidi w:val="0"/>
        <w:spacing w:before="0" w:after="0"/>
        <w:ind w:left="1600" w:right="0" w:firstLine="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461 of the General Rules and Regulations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AIFU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requests that the effectiveness of the above-referenced Registration Statement on Form F-3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be accelerated to, and that the Registration Statement become effective at, 4:00 p.m., Eastern Daylight Time, on May 28, 2026, or as soon thereafter as practicable. In making this acceleration request, the Company acknowledges that it is aware of its responsibilities under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any change in the acceleration request set forth above, the Company will promptly notify you of the change, in which case the Company may be making an oral request of acceleration of the effectiveness of the Registration Statement in accordance with Rule 461. The request may be made by an executive officer of the Company or by any attorney from the Company’s U.S. counsel, Han Kun Law Offices LLP.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 </w:t>
      </w:r>
    </w:p>
    <w:p>
      <w:pPr>
        <w:pStyle w:val="TextBody"/>
        <w:bidi w:val="0"/>
        <w:spacing w:before="0" w:after="0"/>
        <w:jc w:val="center"/>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both"/>
              <w:rPr/>
            </w:pPr>
            <w:r>
              <w:rPr/>
              <w:t> </w:t>
            </w:r>
          </w:p>
        </w:tc>
        <w:tc>
          <w:tcPr>
            <w:tcW w:w="250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0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AIFU Inc.</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Mingxiu Luan</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Mingxiu Luan</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215</Words>
  <Characters>1149</Characters>
  <CharactersWithSpaces>1368</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