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line="257" w:lineRule="auto"/>
        <w:rPr>
          <w:sz w:val="20"/>
          <w:szCs w:val="20"/>
          <w:color w:val="auto"/>
        </w:rPr>
      </w:pPr>
      <w:r>
        <w:rPr>
          <w:rFonts w:ascii="Times New Roman" w:cs="Times New Roman" w:eastAsia="Times New Roman" w:hAnsi="Times New Roman"/>
          <w:sz w:val="16"/>
          <w:szCs w:val="16"/>
          <w:b w:val="1"/>
          <w:bCs w:val="1"/>
          <w:color w:val="auto"/>
        </w:rPr>
        <w:t>As confidentially submitted to the Securities and Exchange Commission on May 8, 2026.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284"/>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w w:val="99"/>
              </w:rPr>
              <w:t>FORM F-3</w:t>
            </w:r>
          </w:p>
        </w:tc>
      </w:tr>
      <w:tr>
        <w:trPr>
          <w:trHeight w:val="362"/>
        </w:trPr>
        <w:tc>
          <w:tcPr>
            <w:tcW w:w="3840" w:type="dxa"/>
            <w:vAlign w:val="bottom"/>
          </w:tcPr>
          <w:p>
            <w:pPr>
              <w:spacing w:after="0"/>
              <w:rPr>
                <w:sz w:val="24"/>
                <w:szCs w:val="24"/>
                <w:color w:val="auto"/>
              </w:rPr>
            </w:pPr>
          </w:p>
        </w:tc>
        <w:tc>
          <w:tcPr>
            <w:tcW w:w="7420" w:type="dxa"/>
            <w:vAlign w:val="bottom"/>
            <w:gridSpan w:val="3"/>
          </w:tcPr>
          <w:p>
            <w:pPr>
              <w:jc w:val="center"/>
              <w:ind w:right="3820"/>
              <w:spacing w:after="0"/>
              <w:rPr>
                <w:sz w:val="20"/>
                <w:szCs w:val="20"/>
                <w:color w:val="auto"/>
              </w:rPr>
            </w:pPr>
            <w:r>
              <w:rPr>
                <w:rFonts w:ascii="Times New Roman" w:cs="Times New Roman" w:eastAsia="Times New Roman" w:hAnsi="Times New Roman"/>
                <w:sz w:val="16"/>
                <w:szCs w:val="16"/>
                <w:b w:val="1"/>
                <w:bCs w:val="1"/>
                <w:color w:val="auto"/>
                <w:w w:val="97"/>
              </w:rPr>
              <w:t>REGISTRATION STATEMENT</w:t>
            </w:r>
          </w:p>
        </w:tc>
      </w:tr>
      <w:tr>
        <w:trPr>
          <w:trHeight w:val="191"/>
        </w:trPr>
        <w:tc>
          <w:tcPr>
            <w:tcW w:w="3840" w:type="dxa"/>
            <w:vAlign w:val="bottom"/>
          </w:tcPr>
          <w:p>
            <w:pPr>
              <w:spacing w:after="0"/>
              <w:rPr>
                <w:sz w:val="16"/>
                <w:szCs w:val="16"/>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2"/>
        </w:trPr>
        <w:tc>
          <w:tcPr>
            <w:tcW w:w="3840" w:type="dxa"/>
            <w:vAlign w:val="bottom"/>
          </w:tcPr>
          <w:p>
            <w:pPr>
              <w:spacing w:after="0"/>
              <w:rPr>
                <w:sz w:val="18"/>
                <w:szCs w:val="18"/>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i w:val="1"/>
                <w:iCs w:val="1"/>
                <w:color w:val="auto"/>
                <w:w w:val="99"/>
              </w:rPr>
              <w:t>THE SECURITIES ACT OF 1933</w:t>
            </w:r>
          </w:p>
        </w:tc>
      </w:tr>
      <w:tr>
        <w:trPr>
          <w:trHeight w:val="366"/>
        </w:trPr>
        <w:tc>
          <w:tcPr>
            <w:tcW w:w="3840" w:type="dxa"/>
            <w:vAlign w:val="bottom"/>
          </w:tcPr>
          <w:p>
            <w:pPr>
              <w:spacing w:after="0"/>
              <w:rPr>
                <w:sz w:val="24"/>
                <w:szCs w:val="24"/>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w w:val="98"/>
              </w:rPr>
              <w:t>AIFU Inc.</w:t>
            </w:r>
          </w:p>
        </w:tc>
      </w:tr>
      <w:tr>
        <w:trPr>
          <w:trHeight w:val="208"/>
        </w:trPr>
        <w:tc>
          <w:tcPr>
            <w:tcW w:w="3840" w:type="dxa"/>
            <w:vAlign w:val="bottom"/>
          </w:tcPr>
          <w:p>
            <w:pPr>
              <w:spacing w:after="0"/>
              <w:rPr>
                <w:sz w:val="18"/>
                <w:szCs w:val="18"/>
                <w:color w:val="auto"/>
              </w:rPr>
            </w:pPr>
          </w:p>
        </w:tc>
        <w:tc>
          <w:tcPr>
            <w:tcW w:w="742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r>
      <w:tr>
        <w:trPr>
          <w:trHeight w:val="366"/>
        </w:trPr>
        <w:tc>
          <w:tcPr>
            <w:tcW w:w="3840" w:type="dxa"/>
            <w:vAlign w:val="bottom"/>
          </w:tcPr>
          <w:p>
            <w:pPr>
              <w:spacing w:after="0"/>
              <w:rPr>
                <w:sz w:val="24"/>
                <w:szCs w:val="24"/>
                <w:color w:val="auto"/>
              </w:rPr>
            </w:pPr>
          </w:p>
        </w:tc>
        <w:tc>
          <w:tcPr>
            <w:tcW w:w="742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r>
      <w:tr>
        <w:trPr>
          <w:trHeight w:val="208"/>
        </w:trPr>
        <w:tc>
          <w:tcPr>
            <w:tcW w:w="3840" w:type="dxa"/>
            <w:vAlign w:val="bottom"/>
          </w:tcPr>
          <w:p>
            <w:pPr>
              <w:spacing w:after="0"/>
              <w:rPr>
                <w:sz w:val="18"/>
                <w:szCs w:val="18"/>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color w:val="auto"/>
                <w:w w:val="99"/>
              </w:rPr>
              <w:t>(Translation of Registrant’s name into English)</w:t>
            </w:r>
          </w:p>
        </w:tc>
      </w:tr>
      <w:tr>
        <w:trPr>
          <w:trHeight w:val="386"/>
        </w:trPr>
        <w:tc>
          <w:tcPr>
            <w:tcW w:w="3840" w:type="dxa"/>
            <w:vAlign w:val="bottom"/>
            <w:tcBorders>
              <w:bottom w:val="single" w:sz="8" w:color="auto"/>
            </w:tcBorders>
          </w:tcPr>
          <w:p>
            <w:pPr>
              <w:jc w:val="center"/>
              <w:ind w:left="1580"/>
              <w:spacing w:after="0"/>
              <w:rPr>
                <w:sz w:val="20"/>
                <w:szCs w:val="20"/>
                <w:color w:val="auto"/>
              </w:rPr>
            </w:pPr>
            <w:r>
              <w:rPr>
                <w:rFonts w:ascii="Times New Roman" w:cs="Times New Roman" w:eastAsia="Times New Roman" w:hAnsi="Times New Roman"/>
                <w:sz w:val="16"/>
                <w:szCs w:val="16"/>
                <w:b w:val="1"/>
                <w:bCs w:val="1"/>
                <w:color w:val="auto"/>
                <w:w w:val="99"/>
              </w:rPr>
              <w:t>Cayman Islands</w:t>
            </w: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 Applicable</w:t>
            </w:r>
          </w:p>
        </w:tc>
      </w:tr>
      <w:tr>
        <w:trPr>
          <w:trHeight w:val="175"/>
        </w:trPr>
        <w:tc>
          <w:tcPr>
            <w:tcW w:w="3840" w:type="dxa"/>
            <w:vAlign w:val="bottom"/>
          </w:tcPr>
          <w:p>
            <w:pPr>
              <w:jc w:val="center"/>
              <w:ind w:left="156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8"/>
        </w:trPr>
        <w:tc>
          <w:tcPr>
            <w:tcW w:w="3840" w:type="dxa"/>
            <w:vAlign w:val="bottom"/>
          </w:tcPr>
          <w:p>
            <w:pPr>
              <w:jc w:val="center"/>
              <w:ind w:left="1600"/>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364"/>
        </w:trPr>
        <w:tc>
          <w:tcPr>
            <w:tcW w:w="3840" w:type="dxa"/>
            <w:vAlign w:val="bottom"/>
          </w:tcPr>
          <w:p>
            <w:pPr>
              <w:spacing w:after="0"/>
              <w:rPr>
                <w:sz w:val="24"/>
                <w:szCs w:val="24"/>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rPr>
              <w:t>Room 1, Building 10,</w:t>
            </w:r>
          </w:p>
        </w:tc>
      </w:tr>
      <w:tr>
        <w:trPr>
          <w:trHeight w:val="191"/>
        </w:trPr>
        <w:tc>
          <w:tcPr>
            <w:tcW w:w="3840" w:type="dxa"/>
            <w:vAlign w:val="bottom"/>
          </w:tcPr>
          <w:p>
            <w:pPr>
              <w:spacing w:after="0"/>
              <w:rPr>
                <w:sz w:val="16"/>
                <w:szCs w:val="16"/>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w w:val="99"/>
              </w:rPr>
              <w:t>Jinzhong Guobin Hui Qinyuan 2nd Road</w:t>
            </w:r>
          </w:p>
        </w:tc>
      </w:tr>
      <w:tr>
        <w:trPr>
          <w:trHeight w:val="191"/>
        </w:trPr>
        <w:tc>
          <w:tcPr>
            <w:tcW w:w="3840" w:type="dxa"/>
            <w:vAlign w:val="bottom"/>
          </w:tcPr>
          <w:p>
            <w:pPr>
              <w:spacing w:after="0"/>
              <w:rPr>
                <w:sz w:val="16"/>
                <w:szCs w:val="16"/>
                <w:color w:val="auto"/>
              </w:rPr>
            </w:pPr>
          </w:p>
        </w:tc>
        <w:tc>
          <w:tcPr>
            <w:tcW w:w="742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w w:val="98"/>
              </w:rPr>
              <w:t>Lihu Community, Xili Street</w:t>
            </w:r>
          </w:p>
        </w:tc>
      </w:tr>
      <w:tr>
        <w:trPr>
          <w:trHeight w:val="191"/>
        </w:trPr>
        <w:tc>
          <w:tcPr>
            <w:tcW w:w="3840" w:type="dxa"/>
            <w:vAlign w:val="bottom"/>
          </w:tcPr>
          <w:p>
            <w:pPr>
              <w:spacing w:after="0"/>
              <w:rPr>
                <w:sz w:val="16"/>
                <w:szCs w:val="16"/>
                <w:color w:val="auto"/>
              </w:rPr>
            </w:pPr>
          </w:p>
        </w:tc>
        <w:tc>
          <w:tcPr>
            <w:tcW w:w="7420" w:type="dxa"/>
            <w:vAlign w:val="bottom"/>
            <w:gridSpan w:val="3"/>
          </w:tcPr>
          <w:p>
            <w:pPr>
              <w:jc w:val="center"/>
              <w:ind w:right="3760"/>
              <w:spacing w:after="0"/>
              <w:rPr>
                <w:sz w:val="20"/>
                <w:szCs w:val="20"/>
                <w:color w:val="auto"/>
              </w:rPr>
            </w:pPr>
            <w:r>
              <w:rPr>
                <w:rFonts w:ascii="Times New Roman" w:cs="Times New Roman" w:eastAsia="Times New Roman" w:hAnsi="Times New Roman"/>
                <w:sz w:val="16"/>
                <w:szCs w:val="16"/>
                <w:b w:val="1"/>
                <w:bCs w:val="1"/>
                <w:color w:val="auto"/>
              </w:rPr>
              <w:t>Shenzhen, 518055</w:t>
            </w:r>
          </w:p>
        </w:tc>
      </w:tr>
      <w:tr>
        <w:trPr>
          <w:trHeight w:val="191"/>
        </w:trPr>
        <w:tc>
          <w:tcPr>
            <w:tcW w:w="3840" w:type="dxa"/>
            <w:vAlign w:val="bottom"/>
          </w:tcPr>
          <w:p>
            <w:pPr>
              <w:spacing w:after="0"/>
              <w:rPr>
                <w:sz w:val="16"/>
                <w:szCs w:val="16"/>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w w:val="99"/>
              </w:rPr>
              <w:t>People’s Republic of China</w:t>
            </w:r>
          </w:p>
        </w:tc>
      </w:tr>
      <w:tr>
        <w:trPr>
          <w:trHeight w:val="210"/>
        </w:trPr>
        <w:tc>
          <w:tcPr>
            <w:tcW w:w="3840" w:type="dxa"/>
            <w:vAlign w:val="bottom"/>
          </w:tcPr>
          <w:p>
            <w:pPr>
              <w:spacing w:after="0"/>
              <w:rPr>
                <w:sz w:val="18"/>
                <w:szCs w:val="18"/>
                <w:color w:val="auto"/>
              </w:rPr>
            </w:pPr>
          </w:p>
        </w:tc>
        <w:tc>
          <w:tcPr>
            <w:tcW w:w="7420" w:type="dxa"/>
            <w:vAlign w:val="bottom"/>
            <w:gridSpan w:val="3"/>
          </w:tcPr>
          <w:p>
            <w:pPr>
              <w:jc w:val="center"/>
              <w:ind w:right="3780"/>
              <w:spacing w:after="0"/>
              <w:rPr>
                <w:sz w:val="20"/>
                <w:szCs w:val="20"/>
                <w:color w:val="auto"/>
              </w:rPr>
            </w:pPr>
            <w:r>
              <w:rPr>
                <w:rFonts w:ascii="Times New Roman" w:cs="Times New Roman" w:eastAsia="Times New Roman" w:hAnsi="Times New Roman"/>
                <w:sz w:val="16"/>
                <w:szCs w:val="16"/>
                <w:b w:val="1"/>
                <w:bCs w:val="1"/>
                <w:color w:val="auto"/>
                <w:w w:val="99"/>
              </w:rPr>
              <w:t>+86 755 22671879</w:t>
            </w:r>
          </w:p>
        </w:tc>
      </w:tr>
    </w:tbl>
    <w:p>
      <w:pPr>
        <w:jc w:val="center"/>
        <w:ind w:right="-3"/>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p>
      <w:pPr>
        <w:spacing w:after="0" w:line="194" w:lineRule="exact"/>
        <w:rPr>
          <w:sz w:val="24"/>
          <w:szCs w:val="24"/>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0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Steve Lin, Esq.</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Han Kun Law Offices LLP</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Rooms 4301-10, 43/F., Gloucester Tower</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The Landmark</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15 Queen’s Road Central</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Hong Kong</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+852 2820 5600</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From time to time after the effective date of this registration statement.</w:t>
      </w:r>
    </w:p>
    <w:p>
      <w:pPr>
        <w:spacing w:after="0" w:line="163" w:lineRule="exact"/>
        <w:rPr>
          <w:sz w:val="24"/>
          <w:szCs w:val="24"/>
          <w:color w:val="auto"/>
        </w:rPr>
      </w:pPr>
    </w:p>
    <w:p>
      <w:pPr>
        <w:ind w:left="284"/>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34" w:lineRule="exact"/>
        <w:rPr>
          <w:sz w:val="24"/>
          <w:szCs w:val="24"/>
          <w:color w:val="auto"/>
        </w:rPr>
      </w:pPr>
    </w:p>
    <w:p>
      <w:pPr>
        <w:jc w:val="both"/>
        <w:ind w:left="4"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52" w:lineRule="exact"/>
        <w:rPr>
          <w:sz w:val="24"/>
          <w:szCs w:val="24"/>
          <w:color w:val="auto"/>
        </w:rPr>
      </w:pPr>
    </w:p>
    <w:p>
      <w:pPr>
        <w:jc w:val="both"/>
        <w:ind w:left="4"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152" w:lineRule="exact"/>
        <w:rPr>
          <w:sz w:val="24"/>
          <w:szCs w:val="24"/>
          <w:color w:val="auto"/>
        </w:rPr>
      </w:pPr>
    </w:p>
    <w:p>
      <w:pPr>
        <w:ind w:left="284"/>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163" w:lineRule="exact"/>
        <w:rPr>
          <w:sz w:val="24"/>
          <w:szCs w:val="24"/>
          <w:color w:val="auto"/>
        </w:rPr>
      </w:pPr>
    </w:p>
    <w:p>
      <w:pPr>
        <w:ind w:left="9324"/>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46" w:lineRule="exact"/>
        <w:rPr>
          <w:sz w:val="24"/>
          <w:szCs w:val="24"/>
          <w:color w:val="auto"/>
        </w:rPr>
      </w:pPr>
    </w:p>
    <w:p>
      <w:pPr>
        <w:jc w:val="both"/>
        <w:ind w:left="4" w:right="20" w:firstLine="287"/>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50" w:lineRule="exact"/>
        <w:rPr>
          <w:sz w:val="24"/>
          <w:szCs w:val="24"/>
          <w:color w:val="auto"/>
        </w:rPr>
      </w:pPr>
    </w:p>
    <w:p>
      <w:pPr>
        <w:jc w:val="both"/>
        <w:ind w:left="4" w:firstLine="287"/>
        <w:spacing w:after="0" w:line="260"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61" w:lineRule="exact"/>
        <w:rPr>
          <w:sz w:val="24"/>
          <w:szCs w:val="24"/>
          <w:color w:val="auto"/>
        </w:rPr>
      </w:pPr>
    </w:p>
    <w:p>
      <w:pPr>
        <w:ind w:left="284" w:right="20" w:hanging="284"/>
        <w:spacing w:after="0" w:line="280" w:lineRule="auto"/>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382905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217" w:right="319" w:bottom="820" w:gutter="0" w:footer="0" w:header="0"/>
        </w:sectPr>
      </w:pPr>
    </w:p>
    <w:bookmarkStart w:id="1" w:name="page2"/>
    <w:bookmarkEnd w:id="1"/>
    <w:p>
      <w:pPr>
        <w:jc w:val="both"/>
        <w:ind w:right="20"/>
        <w:spacing w:after="0" w:line="266" w:lineRule="auto"/>
        <w:rPr>
          <w:sz w:val="20"/>
          <w:szCs w:val="20"/>
          <w:color w:val="auto"/>
        </w:rPr>
      </w:pPr>
      <w:r>
        <w:rPr>
          <w:rFonts w:ascii="Times New Roman" w:cs="Times New Roman" w:eastAsia="Times New Roman" w:hAnsi="Times New Roman"/>
          <w:sz w:val="16"/>
          <w:szCs w:val="16"/>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55" w:lineRule="exact"/>
        <w:rPr>
          <w:sz w:val="20"/>
          <w:szCs w:val="20"/>
          <w:color w:val="auto"/>
        </w:rPr>
      </w:pPr>
    </w:p>
    <w:tbl>
      <w:tblPr>
        <w:tblLayout w:type="fixed"/>
        <w:tblInd w:w="3760" w:type="dxa"/>
        <w:tblCellMar>
          <w:top w:w="0" w:type="dxa"/>
          <w:left w:w="0" w:type="dxa"/>
          <w:bottom w:w="0" w:type="dxa"/>
          <w:right w:w="0" w:type="dxa"/>
        </w:tblCellMar>
      </w:tblPr>
      <w:tr>
        <w:trPr>
          <w:trHeight w:val="20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FF0000"/>
              </w:rPr>
              <w:t>SUBJECT TO COMPLETION, DATED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FF0000"/>
              </w:rPr>
              <w:t>, 2026.</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137795</wp:posOffset>
            </wp:positionV>
            <wp:extent cx="3232785" cy="128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128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US$ 300,000,000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AIFU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Class A Ordinary Shares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Preferred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Subscription Rights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 to 103,747,628 Class A Ordinary Shares Offered by the Selling Shareholders Named Herein</w:t>
      </w:r>
    </w:p>
    <w:p>
      <w:pPr>
        <w:spacing w:after="0" w:line="182"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We may from time to time in one or more offerings offer and sell our Class A ordinary shares, preferred shares, warrants, subscription rights and/or a combination of such securities, separately or as units, of an aggregate offering price of up to US$300,000,000. We refer to our Class A ordinary shares, preferred shares, warrants, subscription rights and units collectively as “securities” in this prospectus. This prospectus provides a general description of offerings of these securities that we may undertake.</w:t>
      </w:r>
    </w:p>
    <w:p>
      <w:pPr>
        <w:spacing w:after="0" w:line="155"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In addition, this prospectus also covers the sale by certain selling shareholders described herein of up to an aggregate of 103,747,628 Class A ordinary shares. We will not receive any of the proceeds from the sale of Class A ordinary shares by selling shareholders.</w:t>
      </w:r>
    </w:p>
    <w:p>
      <w:pPr>
        <w:spacing w:after="0" w:line="144"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We will provide specific terms of any offered securities and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spacing w:after="0" w:line="155"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28 of this prospectus.</w:t>
      </w:r>
    </w:p>
    <w:p>
      <w:pPr>
        <w:spacing w:after="0" w:line="162" w:lineRule="exact"/>
        <w:rPr>
          <w:sz w:val="20"/>
          <w:szCs w:val="20"/>
          <w:color w:val="auto"/>
        </w:rPr>
      </w:pPr>
    </w:p>
    <w:p>
      <w:pPr>
        <w:jc w:val="both"/>
        <w:ind w:right="20" w:firstLine="287"/>
        <w:spacing w:after="0" w:line="255" w:lineRule="auto"/>
        <w:rPr>
          <w:sz w:val="20"/>
          <w:szCs w:val="20"/>
          <w:color w:val="auto"/>
        </w:rPr>
      </w:pPr>
      <w:r>
        <w:rPr>
          <w:rFonts w:ascii="Times New Roman" w:cs="Times New Roman" w:eastAsia="Times New Roman" w:hAnsi="Times New Roman"/>
          <w:sz w:val="16"/>
          <w:szCs w:val="16"/>
          <w:color w:val="auto"/>
        </w:rPr>
        <w:t>Pursuant to General Instruction I.B.5 of Form F-3, in no event will we sell the securities covered hereby in a public primary offering with a value exceeding one-third of the aggregate market value of our voting and non-voting common equity held by non-affiliates in any 12-month period so long as the aggregate market value of our outstanding voting and non-voting common equity held by non-affiliates remains below US$75,000,000. The aggregate market value of our outstanding voting and non-voting common equity held by non-affiliates was approximately US$43.7 million, which was calculated based on 21,987,212 Class A ordinary shares held by non-affiliates and the per share price of US$1.99, which was the closing price of our Class A ordinary shares on March 13, 2026. During the 12 calendar months prior to and including the date of this prospectus, we have not offered or sold any securities pursuant to General Instruction I.B.5 of Form F-3.</w:t>
      </w:r>
    </w:p>
    <w:p>
      <w:pPr>
        <w:spacing w:after="0" w:line="165"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Our Class A ordinary shares are listed on the Nasdaq Global Select Market, or Nasdaq, under the symbol “AIFU.” On May 7, 2026, the closing price of our Class A ordinary shares on Nasdaq was US$1.51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AIFU Inc. is a Cayman Islands holding company primarily operating in China through our PRC subsidiaries, including Zhonglian Enterprise and Xinlian Information, and their subsidiaries in which we hold equity ownership interests. PRC laws, regulations, and rules restrict and impose conditions on direct foreign investment in value-added telecommunication services, and therefore prior to December 27, 2024 we operated our internet-based insurance distribution business through Xinbao Investment and Fanhua RONS Technologies, which we refer to as the former consolidated VIEs in this prospectus. There were historical contractual arrangements among (x) our wholly-owned PRC subsidiaries Fanhua Group Company and Fanlian Investment, (y) the former consolidated VIEs, and (z) the individual nominee shareholders of the former consolidated VIEs (the “Contractual Arrangements”). Except for 49% equity interests that we previously held in Xinbao Investment, we and our shareholders did not have any equity interests in the former consolidated VIEs and relied on the Contractual Arrangements to direct the business operations of the former consolidated VIEs. In December 2024, as part of a share exchange transaction with BGM Group Ltd. (“BGM”), our beneficial ownership in Xinbao Investment and Fanhua RONS Technologies was transferred to BGM in exchange of shares of BGM (“Share Exchange”). The Contractual Arrangements were subsequently terminated. As a result, Xinbao Investment and Fanhua RONS Technologies have been deconsolidated from our consolidated financial statements since December 31, 2024. As of the date of this prospectus, our operations in China are conducted by our PRC subsidiaries and we do not have any VIE structure. As used in this prospectus, “we,” “us,” or “our” refers to AIFU Inc. and its subsidiaries.</w:t>
      </w:r>
    </w:p>
    <w:p>
      <w:pPr>
        <w:spacing w:after="0" w:line="169"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We face various legal and operational risks and uncertainties as a company based in and primarily operating in China. Similar to situations of many other countries, the PRC government has significant authority to exert influence on the ability of a China-based company, like us, to conduct its business, accept foreign investments or list on a U.S. stock exchange. For example, the PRC government has historically initiated a series of regulatory actions and statements to regulate business operations in China, including cracking down on illegal activities in the securities market, strengthened supervision on overseas listings by China-based companies, adopting new measures to extend the scope of cybersecurity reviews and data security protection, and expanding the efforts in anti-monopoly enforcement. The PRC government may also regulate our operations by adopting new laws and regulations from time to time. The PRC government has historically published policies that significantly affected certain industries. Furthermore, the PRC government has recently made efforts to exert more oversight and control over securities offerings and other capital markets activities that are conducted overseas and foreign investment in China-based companies like us. Any such actions could significantly limit or completely hinder our ability to offer or continue to offer securities to investors and cause the value of such securities to significantly decline or in extreme cases, become worthless. For a detailed description of risks relating to doing business in China, see “Item 3. Key Information—3.D. Risk Factors—Risks Related to Doing Business in China” in our annual report on Form 20-F for the fiscal year ended December 31, 2025, or the 2025 Form 20-F.</w:t>
      </w:r>
    </w:p>
    <w:p>
      <w:pPr>
        <w:spacing w:after="0" w:line="169"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Holding Foreign Companies Accountable Act, or the HFCA Act, was enacted on December 18, 2020 and amended by the Consolidated Appropriations Act, 2023 enacted on December 29, 2022. The amended HFCA Act states if the SEC determines that we have filed audit reports issued by a registered public accounting firm that has not been subject to inspection by the PCAOB for two consecutive years, the SEC shall prohibit our shares from being traded on a national securities exchange or in the over-the-counter trading market in the United States. On December 16, 2021, the PCAOB issued its report notifying the SEC of its determination that it was unable to inspect or investigate completely registered public accounting firms headquartered in mainland China or Hong Kong, or the 2021 Determination, including our former auditor. On May 26, 2022, we were conclusively identified by the SEC as a Commission-Identified Issuer under the HFCA Act. On December 15, 2022, the PCAOB issued a report that vacated its 2021 Determination and removed mainland China and Hong Kong from the list of jurisdictions where it is unable to inspect or investigate completely registered public accounting firms.</w:t>
      </w:r>
    </w:p>
    <w:p>
      <w:pPr>
        <w:spacing w:after="0" w:line="169"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the 2021 Determination. As a result, we do not believe we are at risk of having our securities subject to a trading prohibition under the HFCA Act unless a new determination is made by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jc w:val="both"/>
        <w:ind w:right="20" w:firstLine="287"/>
        <w:spacing w:after="0" w:line="252" w:lineRule="auto"/>
        <w:rPr>
          <w:sz w:val="20"/>
          <w:szCs w:val="20"/>
          <w:color w:val="auto"/>
        </w:rPr>
      </w:pPr>
      <w:r>
        <w:rPr>
          <w:rFonts w:ascii="Times New Roman" w:cs="Times New Roman" w:eastAsia="Times New Roman" w:hAnsi="Times New Roman"/>
          <w:sz w:val="16"/>
          <w:szCs w:val="16"/>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The delisting of our shares, or the threat of their being delisted, may materially and adversely affect the value of your investment. These risks could result in a material adverse change in our operations and the value of our shares, significantly limit or completely hinder our ability to continue to offer securities to investors, or cause the value of such securities to significantly decline or become worthless. See “Item 3. Key Information—3.D. Risk Factors—Risks Related to Our Ordinary Shares—The PCAOB had historically been unable to inspect our auditors in relation to their audit work performed for our financial statements and the inability of the PCAOB to conduct inspections of our auditors in the past has deprived our investors with the benefits of such inspections.” and “Item 3. Key Information—3.D. Risk Factors—Risks Related to Our Ordinary Shares—Our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in our 2025 Form 20-F.</w:t>
      </w:r>
    </w:p>
    <w:p>
      <w:pPr>
        <w:spacing w:after="0" w:line="165" w:lineRule="exact"/>
        <w:rPr>
          <w:sz w:val="20"/>
          <w:szCs w:val="20"/>
          <w:color w:val="auto"/>
        </w:rPr>
      </w:pPr>
    </w:p>
    <w:p>
      <w:pPr>
        <w:jc w:val="both"/>
        <w:ind w:right="20" w:firstLine="284"/>
        <w:spacing w:after="0" w:line="255" w:lineRule="auto"/>
        <w:rPr>
          <w:sz w:val="20"/>
          <w:szCs w:val="20"/>
          <w:color w:val="auto"/>
        </w:rPr>
      </w:pPr>
      <w:r>
        <w:rPr>
          <w:rFonts w:ascii="Times New Roman" w:cs="Times New Roman" w:eastAsia="Times New Roman" w:hAnsi="Times New Roman"/>
          <w:sz w:val="16"/>
          <w:szCs w:val="16"/>
          <w:color w:val="auto"/>
        </w:rPr>
        <w:t>Under PRC law, we may provide funding to our PRC subsidiaries only through capital contributions or loans, and to the former consolidated VIEs only through loans, subject to the satisfaction of applicable government registration and approval requirements. We rely on dividends and other distributions from our PRC subsidiaries to satisfy part of our liquidity requirement. Under the historical Contractual Arrangements among our WFOEs, namely Fanhua Group Company and Fanlian Investment, the former consolidated VIEs, and the shareholders of the former consolidated VIEs, our WFOEs provided consultation and training services to the former consolidated VIEs, and were entitled to all of the economic benefits of the former consolidated VIEs and its subsidiaries in the form of service fees. The historical Contractual Arrangements provided that the former consolidated VIEs shall pay a quarterly fee calculated primarily based on a percentage of its revenues.</w:t>
      </w:r>
    </w:p>
    <w:p>
      <w:pPr>
        <w:spacing w:after="0" w:line="165"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Technology consulting and service agreements were entered into between (i) Fanhua Group Company and (ii) Xinbao Investment and each of its subsidiaries on March 1, 2022 and consulting and service agreements were entered into between (i) Fanlian Investment and (ii) Fanhua RONS Technologies and each of its subsidiaries. No service fees were incurred in 2023, 2024 and 2025. The cash flows occurred between our subsidiaries and the former consolidated VIEs included the following: (1) cash received by the former consolidated VIEs from our subsidiaries as inter-company advances amounted to RMB39.4 million, RMB46.8 million and nil for the years ended December 31, 2023, 2024 and 2025, respectively; and (2) net commissions received by our subsidiaries from the former consolidated VIEs offset by technology services paid by our subsidiaries to the former consolidated VIEs amounted to RMB56.7 million, RMB34.5 million and nil for the years ended December 31, 2023, 2024 and 2025, respectively. Although we had previously declared and paid cash dividends, we have no plan to declare or pay any dividends in the near future on our Class A ordinary shares. For risks relating to the fund flows of our China operations, see “Item 3. Key Information—3.D. Risk Factors—Risks Related to Doing Business in China—We rely principally on dividends and other distributions on equity paid by our subsidiaries to fund any cash and financing requirements we may have, and any limitation on the ability of our subsidiaries to make payments to us could have a material adverse effect on our ability to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 w:name="page5"/>
    <w:bookmarkEnd w:id="4"/>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As of the date of this prospectus, we do not have cash management policies and procedures in place that dictate how funds are transferred through our organization. Rather, the funds can be transferred in accordance with the applicable PRC laws and regulations, subject to satisfaction of applicable government registration and approval requirements. To the extent cash or assets are held in mainland China or by a mainland China entity, the funds or assets may not be available to fund operations or for other use outside of mainland China due to the intervention in or imposition of restrictions and limitations on the ability of AIFU Inc. or our subsidiaries by the PRC government to transfer cash or assets. While there are currently no such restrictions or limitations in Hong Kong on cash transfers to, or from, entities in Hong Kong, if certain PRC laws and regulations, including existing laws and regulations and those enacted or promulgated in the future, were to become applicable to our Hong Kong subsidiaries in the future, and to the extent our cash or assets are in Hong Kong or a Hong Kong entity, such funds or assets may not be available due to the interventions in or imposition of restrictions and limitations on our ability to transfer funds or assets by the PRC government. AIFU Inc.’s ability to pay dividends, if any, to its shareholders and to service any debt it may incur will depend upon dividends paid by the WFOEs. Under PRC laws and regulations, the WFOEs are subject to certain restrictions with respect to paying dividends or otherwise transferring any of their net assets offshore to AIFU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The WFOEs are required to set aside at least 10% of their respective after-tax profits each year, after making up previous years’ accumulated losses, if any, to fund certain statutory reserve funds, until the aggregate amount of such a fund reaches 50% of their respective registered capital. At its discretion, each of the WFOEs may allocate a portion of its after-tax profits based on PRC GAAP to discretional funds. As a result, the WFOEs may not have sufficient distributable profits to pay dividends to us in the near future.</w:t>
      </w:r>
    </w:p>
    <w:p>
      <w:pPr>
        <w:spacing w:after="0" w:line="171"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b w:val="1"/>
          <w:bCs w:val="1"/>
          <w:color w:val="auto"/>
        </w:rPr>
        <w:t>Investing in these securities involves certain risks. Please see the “Risk Factors” in Item 3.D of our most recent annual report on Form 20-F incorporated by reference in this prospectus, the “Risk Factors” contained in this prospectus, and the risks described in any applicable prospectus supplement, for a discussion of the factors you should consider carefully before making a decision to invest in our securities.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This prospectus may not be used to offer or sell any securities unless accompanied by a prospectus supplement.</w:t>
      </w:r>
    </w:p>
    <w:p>
      <w:pPr>
        <w:spacing w:after="0" w:line="196"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60" w:type="dxa"/>
            <w:vAlign w:val="bottom"/>
          </w:tcPr>
          <w:p>
            <w:pPr>
              <w:ind w:left="4340"/>
              <w:spacing w:after="0"/>
              <w:rPr>
                <w:sz w:val="20"/>
                <w:szCs w:val="20"/>
                <w:color w:val="auto"/>
              </w:rPr>
            </w:pPr>
            <w:r>
              <w:rPr>
                <w:rFonts w:ascii="Times New Roman" w:cs="Times New Roman" w:eastAsia="Times New Roman" w:hAnsi="Times New Roman"/>
                <w:sz w:val="16"/>
                <w:szCs w:val="16"/>
                <w:color w:val="auto"/>
              </w:rPr>
              <w:t>The date of this prospectus is</w:t>
            </w:r>
          </w:p>
        </w:tc>
        <w:tc>
          <w:tcPr>
            <w:tcW w:w="4900" w:type="dxa"/>
            <w:vAlign w:val="bottom"/>
          </w:tcPr>
          <w:p>
            <w:pPr>
              <w:jc w:val="right"/>
              <w:ind w:right="4260"/>
              <w:spacing w:after="0"/>
              <w:rPr>
                <w:sz w:val="20"/>
                <w:szCs w:val="20"/>
                <w:color w:val="auto"/>
              </w:rPr>
            </w:pPr>
            <w:r>
              <w:rPr>
                <w:rFonts w:ascii="Times New Roman" w:cs="Times New Roman" w:eastAsia="Times New Roman" w:hAnsi="Times New Roman"/>
                <w:sz w:val="16"/>
                <w:szCs w:val="16"/>
                <w:color w:val="auto"/>
              </w:rPr>
              <w:t>, 2026</w:t>
            </w:r>
          </w:p>
        </w:tc>
      </w:tr>
      <w:tr>
        <w:trPr>
          <w:trHeight w:val="386"/>
        </w:trPr>
        <w:tc>
          <w:tcPr>
            <w:tcW w:w="63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TABLE OF CONTENTS</w:t>
            </w:r>
          </w:p>
        </w:tc>
      </w:tr>
      <w:tr>
        <w:trPr>
          <w:trHeight w:val="191"/>
        </w:trPr>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780" w:type="dxa"/>
            <w:vAlign w:val="bottom"/>
          </w:tcPr>
          <w:p>
            <w:pPr>
              <w:spacing w:after="0"/>
              <w:rPr>
                <w:sz w:val="16"/>
                <w:szCs w:val="16"/>
                <w:color w:val="auto"/>
              </w:rPr>
            </w:pPr>
          </w:p>
        </w:tc>
      </w:tr>
      <w:tr>
        <w:trPr>
          <w:trHeight w:val="155"/>
        </w:trPr>
        <w:tc>
          <w:tcPr>
            <w:tcW w:w="448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ABOUT THIS PROSPECTUS</w:t>
            </w:r>
          </w:p>
        </w:tc>
        <w:tc>
          <w:tcPr>
            <w:tcW w:w="6780" w:type="dxa"/>
            <w:vAlign w:val="bottom"/>
            <w:shd w:val="clear" w:color="auto" w:fill="CCEEFF"/>
          </w:tcPr>
          <w:p>
            <w:pPr>
              <w:ind w:left="6340"/>
              <w:spacing w:after="0" w:line="155" w:lineRule="exact"/>
              <w:rPr>
                <w:sz w:val="20"/>
                <w:szCs w:val="20"/>
                <w:color w:val="auto"/>
              </w:rPr>
            </w:pPr>
            <w:r>
              <w:rPr>
                <w:rFonts w:ascii="Times New Roman" w:cs="Times New Roman" w:eastAsia="Times New Roman" w:hAnsi="Times New Roman"/>
                <w:sz w:val="16"/>
                <w:szCs w:val="16"/>
                <w:color w:val="auto"/>
              </w:rPr>
              <w:t>ii</w:t>
            </w:r>
          </w:p>
        </w:tc>
      </w:tr>
      <w:tr>
        <w:trPr>
          <w:trHeight w:val="36"/>
        </w:trPr>
        <w:tc>
          <w:tcPr>
            <w:tcW w:w="6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780" w:type="dxa"/>
            <w:vAlign w:val="bottom"/>
            <w:shd w:val="clear" w:color="auto" w:fill="CCEEFF"/>
          </w:tcPr>
          <w:p>
            <w:pPr>
              <w:spacing w:after="0"/>
              <w:rPr>
                <w:sz w:val="3"/>
                <w:szCs w:val="3"/>
                <w:color w:val="auto"/>
              </w:rPr>
            </w:pPr>
          </w:p>
        </w:tc>
      </w:tr>
      <w:tr>
        <w:trPr>
          <w:trHeight w:val="163"/>
        </w:trPr>
        <w:tc>
          <w:tcPr>
            <w:tcW w:w="4480" w:type="dxa"/>
            <w:vAlign w:val="bottom"/>
            <w:gridSpan w:val="18"/>
          </w:tcPr>
          <w:p>
            <w:pPr>
              <w:spacing w:after="0" w:line="155" w:lineRule="exact"/>
              <w:rPr>
                <w:sz w:val="20"/>
                <w:szCs w:val="20"/>
                <w:color w:val="auto"/>
              </w:rPr>
            </w:pPr>
            <w:r>
              <w:rPr>
                <w:rFonts w:ascii="Times New Roman" w:cs="Times New Roman" w:eastAsia="Times New Roman" w:hAnsi="Times New Roman"/>
                <w:sz w:val="16"/>
                <w:szCs w:val="16"/>
                <w:color w:val="0000EE"/>
              </w:rPr>
              <w:t>FORWARD-LOOKING STATEMENTS</w:t>
            </w:r>
          </w:p>
        </w:tc>
        <w:tc>
          <w:tcPr>
            <w:tcW w:w="6780" w:type="dxa"/>
            <w:vAlign w:val="bottom"/>
          </w:tcPr>
          <w:p>
            <w:pPr>
              <w:ind w:left="6320"/>
              <w:spacing w:after="0" w:line="155" w:lineRule="exact"/>
              <w:rPr>
                <w:sz w:val="20"/>
                <w:szCs w:val="20"/>
                <w:color w:val="auto"/>
              </w:rPr>
            </w:pPr>
            <w:r>
              <w:rPr>
                <w:rFonts w:ascii="Times New Roman" w:cs="Times New Roman" w:eastAsia="Times New Roman" w:hAnsi="Times New Roman"/>
                <w:sz w:val="16"/>
                <w:szCs w:val="16"/>
                <w:color w:val="auto"/>
              </w:rPr>
              <w:t>iv</w:t>
            </w:r>
          </w:p>
        </w:tc>
      </w:tr>
      <w:tr>
        <w:trPr>
          <w:trHeight w:val="179"/>
        </w:trPr>
        <w:tc>
          <w:tcPr>
            <w:tcW w:w="1160" w:type="dxa"/>
            <w:vAlign w:val="bottom"/>
            <w:tcBorders>
              <w:top w:val="single" w:sz="8" w:color="0000EE"/>
              <w:bottom w:val="single" w:sz="8" w:color="0000EE"/>
            </w:tcBorders>
            <w:gridSpan w:val="4"/>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6"/>
              </w:rPr>
              <w:t>OUR COMPANY</w:t>
            </w:r>
          </w:p>
        </w:tc>
        <w:tc>
          <w:tcPr>
            <w:tcW w:w="1420" w:type="dxa"/>
            <w:vAlign w:val="bottom"/>
            <w:tcBorders>
              <w:top w:val="single" w:sz="8" w:color="0000EE"/>
              <w:bottom w:val="single" w:sz="8" w:color="CCEEFF"/>
            </w:tcBorders>
            <w:gridSpan w:val="7"/>
            <w:shd w:val="clear" w:color="auto" w:fill="CCEEFF"/>
          </w:tcPr>
          <w:p>
            <w:pPr>
              <w:spacing w:after="0"/>
              <w:rPr>
                <w:sz w:val="15"/>
                <w:szCs w:val="15"/>
                <w:color w:val="auto"/>
              </w:rPr>
            </w:pPr>
          </w:p>
        </w:tc>
        <w:tc>
          <w:tcPr>
            <w:tcW w:w="1900" w:type="dxa"/>
            <w:vAlign w:val="bottom"/>
            <w:tcBorders>
              <w:bottom w:val="single" w:sz="8" w:color="CCEEFF"/>
            </w:tcBorders>
            <w:gridSpan w:val="7"/>
            <w:shd w:val="clear" w:color="auto" w:fill="CCEEFF"/>
          </w:tcPr>
          <w:p>
            <w:pPr>
              <w:spacing w:after="0"/>
              <w:rPr>
                <w:sz w:val="15"/>
                <w:szCs w:val="15"/>
                <w:color w:val="auto"/>
              </w:rPr>
            </w:pPr>
          </w:p>
        </w:tc>
        <w:tc>
          <w:tcPr>
            <w:tcW w:w="6780" w:type="dxa"/>
            <w:vAlign w:val="bottom"/>
            <w:tcBorders>
              <w:bottom w:val="single" w:sz="8" w:color="CCEEFF"/>
            </w:tcBorders>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1</w:t>
            </w:r>
          </w:p>
        </w:tc>
      </w:tr>
      <w:tr>
        <w:trPr>
          <w:trHeight w:val="155"/>
        </w:trPr>
        <w:tc>
          <w:tcPr>
            <w:tcW w:w="4480" w:type="dxa"/>
            <w:vAlign w:val="bottom"/>
            <w:gridSpan w:val="18"/>
          </w:tcPr>
          <w:p>
            <w:pPr>
              <w:spacing w:after="0" w:line="155" w:lineRule="exact"/>
              <w:rPr>
                <w:sz w:val="20"/>
                <w:szCs w:val="20"/>
                <w:color w:val="auto"/>
              </w:rPr>
            </w:pPr>
            <w:r>
              <w:rPr>
                <w:rFonts w:ascii="Times New Roman" w:cs="Times New Roman" w:eastAsia="Times New Roman" w:hAnsi="Times New Roman"/>
                <w:sz w:val="16"/>
                <w:szCs w:val="16"/>
                <w:color w:val="0000EE"/>
              </w:rPr>
              <w:t>RISK FACTORS</w:t>
            </w:r>
          </w:p>
        </w:tc>
        <w:tc>
          <w:tcPr>
            <w:tcW w:w="6780" w:type="dxa"/>
            <w:vAlign w:val="bottom"/>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12</w:t>
            </w:r>
          </w:p>
        </w:tc>
      </w:tr>
      <w:tr>
        <w:trPr>
          <w:trHeight w:val="28"/>
        </w:trPr>
        <w:tc>
          <w:tcPr>
            <w:tcW w:w="6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179"/>
        </w:trPr>
        <w:tc>
          <w:tcPr>
            <w:tcW w:w="1400" w:type="dxa"/>
            <w:vAlign w:val="bottom"/>
            <w:tcBorders>
              <w:bottom w:val="single" w:sz="8" w:color="0000EE"/>
            </w:tcBorders>
            <w:gridSpan w:val="6"/>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USE OF PROCEEDS</w:t>
            </w:r>
          </w:p>
        </w:tc>
        <w:tc>
          <w:tcPr>
            <w:tcW w:w="3080" w:type="dxa"/>
            <w:vAlign w:val="bottom"/>
            <w:tcBorders>
              <w:bottom w:val="single" w:sz="8" w:color="CCEEFF"/>
            </w:tcBorders>
            <w:gridSpan w:val="12"/>
            <w:shd w:val="clear" w:color="auto" w:fill="CCEEFF"/>
          </w:tcPr>
          <w:p>
            <w:pPr>
              <w:spacing w:after="0"/>
              <w:rPr>
                <w:sz w:val="15"/>
                <w:szCs w:val="15"/>
                <w:color w:val="auto"/>
              </w:rPr>
            </w:pPr>
          </w:p>
        </w:tc>
        <w:tc>
          <w:tcPr>
            <w:tcW w:w="6780" w:type="dxa"/>
            <w:vAlign w:val="bottom"/>
            <w:tcBorders>
              <w:bottom w:val="single" w:sz="8" w:color="CCEEFF"/>
            </w:tcBorders>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13</w:t>
            </w:r>
          </w:p>
        </w:tc>
      </w:tr>
      <w:tr>
        <w:trPr>
          <w:trHeight w:val="163"/>
        </w:trPr>
        <w:tc>
          <w:tcPr>
            <w:tcW w:w="2540" w:type="dxa"/>
            <w:vAlign w:val="bottom"/>
            <w:tcBorders>
              <w:bottom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6"/>
                <w:szCs w:val="16"/>
                <w:color w:val="0000EE"/>
                <w:w w:val="98"/>
              </w:rPr>
              <w:t>DESCRIPTION OF SHARE CAPITAL</w:t>
            </w:r>
          </w:p>
        </w:tc>
        <w:tc>
          <w:tcPr>
            <w:tcW w:w="1940" w:type="dxa"/>
            <w:vAlign w:val="bottom"/>
            <w:gridSpan w:val="8"/>
          </w:tcPr>
          <w:p>
            <w:pPr>
              <w:spacing w:after="0"/>
              <w:rPr>
                <w:sz w:val="14"/>
                <w:szCs w:val="14"/>
                <w:color w:val="auto"/>
              </w:rPr>
            </w:pPr>
          </w:p>
        </w:tc>
        <w:tc>
          <w:tcPr>
            <w:tcW w:w="6780" w:type="dxa"/>
            <w:vAlign w:val="bottom"/>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14</w:t>
            </w:r>
          </w:p>
        </w:tc>
      </w:tr>
      <w:tr>
        <w:trPr>
          <w:trHeight w:val="179"/>
        </w:trPr>
        <w:tc>
          <w:tcPr>
            <w:tcW w:w="448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DESCRIPTION OF PREFERRED SHARES</w:t>
            </w:r>
          </w:p>
        </w:tc>
        <w:tc>
          <w:tcPr>
            <w:tcW w:w="6780" w:type="dxa"/>
            <w:vAlign w:val="bottom"/>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21</w:t>
            </w:r>
          </w:p>
        </w:tc>
      </w:tr>
      <w:tr>
        <w:trPr>
          <w:trHeight w:val="163"/>
        </w:trPr>
        <w:tc>
          <w:tcPr>
            <w:tcW w:w="2200" w:type="dxa"/>
            <w:vAlign w:val="bottom"/>
            <w:tcBorders>
              <w:top w:val="single" w:sz="8" w:color="0000EE"/>
              <w:bottom w:val="single" w:sz="8" w:color="0000EE"/>
            </w:tcBorders>
            <w:gridSpan w:val="9"/>
          </w:tcPr>
          <w:p>
            <w:pPr>
              <w:spacing w:after="0" w:line="155" w:lineRule="exact"/>
              <w:rPr>
                <w:sz w:val="20"/>
                <w:szCs w:val="20"/>
                <w:color w:val="auto"/>
              </w:rPr>
            </w:pPr>
            <w:r>
              <w:rPr>
                <w:rFonts w:ascii="Times New Roman" w:cs="Times New Roman" w:eastAsia="Times New Roman" w:hAnsi="Times New Roman"/>
                <w:sz w:val="16"/>
                <w:szCs w:val="16"/>
                <w:color w:val="0000EE"/>
                <w:w w:val="98"/>
              </w:rPr>
              <w:t>DESCRIPTION OF WARRANTS</w:t>
            </w:r>
          </w:p>
        </w:tc>
        <w:tc>
          <w:tcPr>
            <w:tcW w:w="660" w:type="dxa"/>
            <w:vAlign w:val="bottom"/>
            <w:tcBorders>
              <w:top w:val="single" w:sz="8" w:color="0000EE"/>
            </w:tcBorders>
            <w:gridSpan w:val="3"/>
          </w:tcPr>
          <w:p>
            <w:pPr>
              <w:spacing w:after="0"/>
              <w:rPr>
                <w:sz w:val="14"/>
                <w:szCs w:val="14"/>
                <w:color w:val="auto"/>
              </w:rPr>
            </w:pPr>
          </w:p>
        </w:tc>
        <w:tc>
          <w:tcPr>
            <w:tcW w:w="1620" w:type="dxa"/>
            <w:vAlign w:val="bottom"/>
            <w:tcBorders>
              <w:top w:val="single" w:sz="8" w:color="CCEEFF"/>
            </w:tcBorders>
            <w:gridSpan w:val="6"/>
          </w:tcPr>
          <w:p>
            <w:pPr>
              <w:spacing w:after="0"/>
              <w:rPr>
                <w:sz w:val="14"/>
                <w:szCs w:val="14"/>
                <w:color w:val="auto"/>
              </w:rPr>
            </w:pPr>
          </w:p>
        </w:tc>
        <w:tc>
          <w:tcPr>
            <w:tcW w:w="6780" w:type="dxa"/>
            <w:vAlign w:val="bottom"/>
            <w:tcBorders>
              <w:top w:val="single" w:sz="8" w:color="CCEEFF"/>
            </w:tcBorders>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22</w:t>
            </w:r>
          </w:p>
        </w:tc>
      </w:tr>
      <w:tr>
        <w:trPr>
          <w:trHeight w:val="179"/>
        </w:trPr>
        <w:tc>
          <w:tcPr>
            <w:tcW w:w="448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DESCRIPTION OF SUBSCRIPTION RIGHTS</w:t>
            </w:r>
          </w:p>
        </w:tc>
        <w:tc>
          <w:tcPr>
            <w:tcW w:w="6780" w:type="dxa"/>
            <w:vAlign w:val="bottom"/>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23</w:t>
            </w:r>
          </w:p>
        </w:tc>
      </w:tr>
      <w:tr>
        <w:trPr>
          <w:trHeight w:val="155"/>
        </w:trPr>
        <w:tc>
          <w:tcPr>
            <w:tcW w:w="3060" w:type="dxa"/>
            <w:vAlign w:val="bottom"/>
            <w:tcBorders>
              <w:top w:val="single" w:sz="8" w:color="0000EE"/>
            </w:tcBorders>
            <w:gridSpan w:val="15"/>
          </w:tcPr>
          <w:p>
            <w:pPr>
              <w:spacing w:after="0" w:line="155" w:lineRule="exact"/>
              <w:rPr>
                <w:sz w:val="20"/>
                <w:szCs w:val="20"/>
                <w:color w:val="auto"/>
              </w:rPr>
            </w:pPr>
            <w:r>
              <w:rPr>
                <w:rFonts w:ascii="Times New Roman" w:cs="Times New Roman" w:eastAsia="Times New Roman" w:hAnsi="Times New Roman"/>
                <w:sz w:val="16"/>
                <w:szCs w:val="16"/>
                <w:color w:val="0000EE"/>
              </w:rPr>
              <w:t>DESCRIPTION OF UNITS</w:t>
            </w:r>
          </w:p>
        </w:tc>
        <w:tc>
          <w:tcPr>
            <w:tcW w:w="1420" w:type="dxa"/>
            <w:vAlign w:val="bottom"/>
            <w:tcBorders>
              <w:top w:val="single" w:sz="8" w:color="CCEEFF"/>
            </w:tcBorders>
            <w:gridSpan w:val="3"/>
          </w:tcPr>
          <w:p>
            <w:pPr>
              <w:spacing w:after="0"/>
              <w:rPr>
                <w:sz w:val="13"/>
                <w:szCs w:val="13"/>
                <w:color w:val="auto"/>
              </w:rPr>
            </w:pPr>
          </w:p>
        </w:tc>
        <w:tc>
          <w:tcPr>
            <w:tcW w:w="6780" w:type="dxa"/>
            <w:vAlign w:val="bottom"/>
            <w:tcBorders>
              <w:top w:val="single" w:sz="8" w:color="CCEEFF"/>
            </w:tcBorders>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24</w:t>
            </w:r>
          </w:p>
        </w:tc>
      </w:tr>
      <w:tr>
        <w:trPr>
          <w:trHeight w:val="28"/>
        </w:trPr>
        <w:tc>
          <w:tcPr>
            <w:tcW w:w="6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179"/>
        </w:trPr>
        <w:tc>
          <w:tcPr>
            <w:tcW w:w="3020" w:type="dxa"/>
            <w:vAlign w:val="bottom"/>
            <w:tcBorders>
              <w:bottom w:val="single" w:sz="8" w:color="0000EE"/>
            </w:tcBorders>
            <w:gridSpan w:val="14"/>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ENFORCEABILITY OF CIVIL LIABILITIES</w:t>
            </w:r>
          </w:p>
        </w:tc>
        <w:tc>
          <w:tcPr>
            <w:tcW w:w="1460" w:type="dxa"/>
            <w:vAlign w:val="bottom"/>
            <w:tcBorders>
              <w:bottom w:val="single" w:sz="8" w:color="CCEEFF"/>
            </w:tcBorders>
            <w:gridSpan w:val="4"/>
            <w:shd w:val="clear" w:color="auto" w:fill="CCEEFF"/>
          </w:tcPr>
          <w:p>
            <w:pPr>
              <w:spacing w:after="0"/>
              <w:rPr>
                <w:sz w:val="15"/>
                <w:szCs w:val="15"/>
                <w:color w:val="auto"/>
              </w:rPr>
            </w:pPr>
          </w:p>
        </w:tc>
        <w:tc>
          <w:tcPr>
            <w:tcW w:w="6780" w:type="dxa"/>
            <w:vAlign w:val="bottom"/>
            <w:tcBorders>
              <w:bottom w:val="single" w:sz="8" w:color="CCEEFF"/>
            </w:tcBorders>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25</w:t>
            </w:r>
          </w:p>
        </w:tc>
      </w:tr>
      <w:tr>
        <w:trPr>
          <w:trHeight w:val="155"/>
        </w:trPr>
        <w:tc>
          <w:tcPr>
            <w:tcW w:w="4480" w:type="dxa"/>
            <w:vAlign w:val="bottom"/>
            <w:gridSpan w:val="18"/>
          </w:tcPr>
          <w:p>
            <w:pPr>
              <w:spacing w:after="0" w:line="155" w:lineRule="exact"/>
              <w:rPr>
                <w:sz w:val="20"/>
                <w:szCs w:val="20"/>
                <w:color w:val="auto"/>
              </w:rPr>
            </w:pPr>
            <w:r>
              <w:rPr>
                <w:rFonts w:ascii="Times New Roman" w:cs="Times New Roman" w:eastAsia="Times New Roman" w:hAnsi="Times New Roman"/>
                <w:sz w:val="16"/>
                <w:szCs w:val="16"/>
                <w:color w:val="0000EE"/>
              </w:rPr>
              <w:t>TAXATION</w:t>
            </w:r>
          </w:p>
        </w:tc>
        <w:tc>
          <w:tcPr>
            <w:tcW w:w="6780" w:type="dxa"/>
            <w:vAlign w:val="bottom"/>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26</w:t>
            </w:r>
          </w:p>
        </w:tc>
      </w:tr>
      <w:tr>
        <w:trPr>
          <w:trHeight w:val="28"/>
        </w:trPr>
        <w:tc>
          <w:tcPr>
            <w:tcW w:w="6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179"/>
        </w:trPr>
        <w:tc>
          <w:tcPr>
            <w:tcW w:w="1960" w:type="dxa"/>
            <w:vAlign w:val="bottom"/>
            <w:tcBorders>
              <w:bottom w:val="single" w:sz="8" w:color="0000EE"/>
            </w:tcBorders>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8"/>
              </w:rPr>
              <w:t>SELLING SHAREHOLDERS</w:t>
            </w:r>
          </w:p>
        </w:tc>
        <w:tc>
          <w:tcPr>
            <w:tcW w:w="2520" w:type="dxa"/>
            <w:vAlign w:val="bottom"/>
            <w:tcBorders>
              <w:bottom w:val="single" w:sz="8" w:color="CCEEFF"/>
            </w:tcBorders>
            <w:gridSpan w:val="10"/>
            <w:shd w:val="clear" w:color="auto" w:fill="CCEEFF"/>
          </w:tcPr>
          <w:p>
            <w:pPr>
              <w:spacing w:after="0"/>
              <w:rPr>
                <w:sz w:val="15"/>
                <w:szCs w:val="15"/>
                <w:color w:val="auto"/>
              </w:rPr>
            </w:pPr>
          </w:p>
        </w:tc>
        <w:tc>
          <w:tcPr>
            <w:tcW w:w="6780" w:type="dxa"/>
            <w:vAlign w:val="bottom"/>
            <w:tcBorders>
              <w:bottom w:val="single" w:sz="8" w:color="CCEEFF"/>
            </w:tcBorders>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27</w:t>
            </w:r>
          </w:p>
        </w:tc>
      </w:tr>
      <w:tr>
        <w:trPr>
          <w:trHeight w:val="155"/>
        </w:trPr>
        <w:tc>
          <w:tcPr>
            <w:tcW w:w="4480" w:type="dxa"/>
            <w:vAlign w:val="bottom"/>
            <w:gridSpan w:val="18"/>
          </w:tcPr>
          <w:p>
            <w:pPr>
              <w:spacing w:after="0" w:line="155" w:lineRule="exact"/>
              <w:rPr>
                <w:sz w:val="20"/>
                <w:szCs w:val="20"/>
                <w:color w:val="auto"/>
              </w:rPr>
            </w:pPr>
            <w:r>
              <w:rPr>
                <w:rFonts w:ascii="Times New Roman" w:cs="Times New Roman" w:eastAsia="Times New Roman" w:hAnsi="Times New Roman"/>
                <w:sz w:val="16"/>
                <w:szCs w:val="16"/>
                <w:color w:val="0000EE"/>
              </w:rPr>
              <w:t>PLAN OF DISTRIBUTION</w:t>
            </w:r>
          </w:p>
        </w:tc>
        <w:tc>
          <w:tcPr>
            <w:tcW w:w="6780" w:type="dxa"/>
            <w:vAlign w:val="bottom"/>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28</w:t>
            </w:r>
          </w:p>
        </w:tc>
      </w:tr>
      <w:tr>
        <w:trPr>
          <w:trHeight w:val="28"/>
        </w:trPr>
        <w:tc>
          <w:tcPr>
            <w:tcW w:w="6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80" w:type="dxa"/>
            <w:vAlign w:val="bottom"/>
            <w:tcBorders>
              <w:left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780" w:type="dxa"/>
            <w:vAlign w:val="bottom"/>
          </w:tcPr>
          <w:p>
            <w:pPr>
              <w:spacing w:after="0"/>
              <w:rPr>
                <w:sz w:val="2"/>
                <w:szCs w:val="2"/>
                <w:color w:val="auto"/>
              </w:rPr>
            </w:pPr>
          </w:p>
        </w:tc>
      </w:tr>
      <w:tr>
        <w:trPr>
          <w:trHeight w:val="179"/>
        </w:trPr>
        <w:tc>
          <w:tcPr>
            <w:tcW w:w="4480" w:type="dxa"/>
            <w:vAlign w:val="bottom"/>
            <w:gridSpan w:val="1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EXPENSES RELATED TO THE OFFERING</w:t>
            </w:r>
          </w:p>
        </w:tc>
        <w:tc>
          <w:tcPr>
            <w:tcW w:w="6780" w:type="dxa"/>
            <w:vAlign w:val="bottom"/>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32</w:t>
            </w:r>
          </w:p>
        </w:tc>
      </w:tr>
      <w:tr>
        <w:trPr>
          <w:trHeight w:val="163"/>
        </w:trPr>
        <w:tc>
          <w:tcPr>
            <w:tcW w:w="2940" w:type="dxa"/>
            <w:vAlign w:val="bottom"/>
            <w:tcBorders>
              <w:top w:val="single" w:sz="8" w:color="0000EE"/>
            </w:tcBorders>
            <w:gridSpan w:val="13"/>
          </w:tcPr>
          <w:p>
            <w:pPr>
              <w:spacing w:after="0" w:line="155" w:lineRule="exact"/>
              <w:rPr>
                <w:sz w:val="20"/>
                <w:szCs w:val="20"/>
                <w:color w:val="auto"/>
              </w:rPr>
            </w:pPr>
            <w:r>
              <w:rPr>
                <w:rFonts w:ascii="Times New Roman" w:cs="Times New Roman" w:eastAsia="Times New Roman" w:hAnsi="Times New Roman"/>
                <w:sz w:val="16"/>
                <w:szCs w:val="16"/>
                <w:color w:val="0000EE"/>
              </w:rPr>
              <w:t>LEGAL MATTERS</w:t>
            </w:r>
          </w:p>
        </w:tc>
        <w:tc>
          <w:tcPr>
            <w:tcW w:w="1540" w:type="dxa"/>
            <w:vAlign w:val="bottom"/>
            <w:tcBorders>
              <w:top w:val="single" w:sz="8" w:color="CCEEFF"/>
            </w:tcBorders>
            <w:gridSpan w:val="5"/>
          </w:tcPr>
          <w:p>
            <w:pPr>
              <w:spacing w:after="0"/>
              <w:rPr>
                <w:sz w:val="14"/>
                <w:szCs w:val="14"/>
                <w:color w:val="auto"/>
              </w:rPr>
            </w:pPr>
          </w:p>
        </w:tc>
        <w:tc>
          <w:tcPr>
            <w:tcW w:w="6780" w:type="dxa"/>
            <w:vAlign w:val="bottom"/>
            <w:tcBorders>
              <w:top w:val="single" w:sz="8" w:color="CCEEFF"/>
            </w:tcBorders>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32</w:t>
            </w:r>
          </w:p>
        </w:tc>
      </w:tr>
      <w:tr>
        <w:trPr>
          <w:trHeight w:val="179"/>
        </w:trPr>
        <w:tc>
          <w:tcPr>
            <w:tcW w:w="680" w:type="dxa"/>
            <w:vAlign w:val="bottom"/>
            <w:tcBorders>
              <w:top w:val="single" w:sz="8" w:color="0000EE"/>
              <w:bottom w:val="single" w:sz="8" w:color="0000EE"/>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w w:val="95"/>
              </w:rPr>
              <w:t>EXPERTS</w:t>
            </w:r>
          </w:p>
        </w:tc>
        <w:tc>
          <w:tcPr>
            <w:tcW w:w="600" w:type="dxa"/>
            <w:vAlign w:val="bottom"/>
            <w:tcBorders>
              <w:top w:val="single" w:sz="8" w:color="0000EE"/>
              <w:bottom w:val="single" w:sz="8" w:color="CCEEFF"/>
            </w:tcBorders>
            <w:gridSpan w:val="4"/>
            <w:shd w:val="clear" w:color="auto" w:fill="CCEEFF"/>
          </w:tcPr>
          <w:p>
            <w:pPr>
              <w:spacing w:after="0"/>
              <w:rPr>
                <w:sz w:val="15"/>
                <w:szCs w:val="15"/>
                <w:color w:val="auto"/>
              </w:rPr>
            </w:pPr>
          </w:p>
        </w:tc>
        <w:tc>
          <w:tcPr>
            <w:tcW w:w="3200" w:type="dxa"/>
            <w:vAlign w:val="bottom"/>
            <w:tcBorders>
              <w:bottom w:val="single" w:sz="8" w:color="CCEEFF"/>
            </w:tcBorders>
            <w:gridSpan w:val="13"/>
            <w:shd w:val="clear" w:color="auto" w:fill="CCEEFF"/>
          </w:tcPr>
          <w:p>
            <w:pPr>
              <w:spacing w:after="0"/>
              <w:rPr>
                <w:sz w:val="15"/>
                <w:szCs w:val="15"/>
                <w:color w:val="auto"/>
              </w:rPr>
            </w:pPr>
          </w:p>
        </w:tc>
        <w:tc>
          <w:tcPr>
            <w:tcW w:w="6780" w:type="dxa"/>
            <w:vAlign w:val="bottom"/>
            <w:tcBorders>
              <w:bottom w:val="single" w:sz="8" w:color="CCEEFF"/>
            </w:tcBorders>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32</w:t>
            </w:r>
          </w:p>
        </w:tc>
      </w:tr>
      <w:tr>
        <w:trPr>
          <w:trHeight w:val="163"/>
        </w:trPr>
        <w:tc>
          <w:tcPr>
            <w:tcW w:w="4480" w:type="dxa"/>
            <w:vAlign w:val="bottom"/>
            <w:gridSpan w:val="18"/>
          </w:tcPr>
          <w:p>
            <w:pPr>
              <w:spacing w:after="0" w:line="155" w:lineRule="exact"/>
              <w:rPr>
                <w:sz w:val="20"/>
                <w:szCs w:val="20"/>
                <w:color w:val="auto"/>
              </w:rPr>
            </w:pPr>
            <w:r>
              <w:rPr>
                <w:rFonts w:ascii="Times New Roman" w:cs="Times New Roman" w:eastAsia="Times New Roman" w:hAnsi="Times New Roman"/>
                <w:sz w:val="16"/>
                <w:szCs w:val="16"/>
                <w:color w:val="0000EE"/>
              </w:rPr>
              <w:t>WHERE YOU CAN FIND MORE INFORMATION ABOUT US</w:t>
            </w:r>
          </w:p>
        </w:tc>
        <w:tc>
          <w:tcPr>
            <w:tcW w:w="6780" w:type="dxa"/>
            <w:vAlign w:val="bottom"/>
          </w:tcPr>
          <w:p>
            <w:pPr>
              <w:jc w:val="center"/>
              <w:ind w:left="5900"/>
              <w:spacing w:after="0" w:line="155" w:lineRule="exact"/>
              <w:rPr>
                <w:sz w:val="20"/>
                <w:szCs w:val="20"/>
                <w:color w:val="auto"/>
              </w:rPr>
            </w:pPr>
            <w:r>
              <w:rPr>
                <w:rFonts w:ascii="Times New Roman" w:cs="Times New Roman" w:eastAsia="Times New Roman" w:hAnsi="Times New Roman"/>
                <w:sz w:val="16"/>
                <w:szCs w:val="16"/>
                <w:color w:val="auto"/>
                <w:w w:val="99"/>
              </w:rPr>
              <w:t>32</w:t>
            </w:r>
          </w:p>
        </w:tc>
      </w:tr>
      <w:tr>
        <w:trPr>
          <w:trHeight w:val="163"/>
        </w:trPr>
        <w:tc>
          <w:tcPr>
            <w:tcW w:w="4200" w:type="dxa"/>
            <w:vAlign w:val="bottom"/>
            <w:tcBorders>
              <w:top w:val="single" w:sz="8" w:color="0000EE"/>
            </w:tcBorders>
            <w:gridSpan w:val="1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INCORPORATION OF DOCUMENTS BY REFERENCE</w:t>
            </w:r>
          </w:p>
        </w:tc>
        <w:tc>
          <w:tcPr>
            <w:tcW w:w="280" w:type="dxa"/>
            <w:vAlign w:val="bottom"/>
            <w:shd w:val="clear" w:color="auto" w:fill="CCEEFF"/>
          </w:tcPr>
          <w:p>
            <w:pPr>
              <w:spacing w:after="0"/>
              <w:rPr>
                <w:sz w:val="14"/>
                <w:szCs w:val="14"/>
                <w:color w:val="auto"/>
              </w:rPr>
            </w:pPr>
          </w:p>
        </w:tc>
        <w:tc>
          <w:tcPr>
            <w:tcW w:w="6780" w:type="dxa"/>
            <w:vAlign w:val="bottom"/>
            <w:shd w:val="clear" w:color="auto" w:fill="CCEEFF"/>
          </w:tcPr>
          <w:p>
            <w:pPr>
              <w:jc w:val="center"/>
              <w:ind w:left="5900"/>
              <w:spacing w:after="0" w:line="163" w:lineRule="exact"/>
              <w:rPr>
                <w:sz w:val="20"/>
                <w:szCs w:val="20"/>
                <w:color w:val="auto"/>
              </w:rPr>
            </w:pPr>
            <w:r>
              <w:rPr>
                <w:rFonts w:ascii="Times New Roman" w:cs="Times New Roman" w:eastAsia="Times New Roman" w:hAnsi="Times New Roman"/>
                <w:sz w:val="16"/>
                <w:szCs w:val="16"/>
                <w:color w:val="auto"/>
                <w:w w:val="99"/>
              </w:rPr>
              <w:t>33</w:t>
            </w:r>
          </w:p>
        </w:tc>
      </w:tr>
      <w:tr>
        <w:trPr>
          <w:trHeight w:val="36"/>
        </w:trPr>
        <w:tc>
          <w:tcPr>
            <w:tcW w:w="6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18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780" w:type="dxa"/>
            <w:vAlign w:val="bottom"/>
            <w:shd w:val="clear" w:color="auto" w:fill="CCEEFF"/>
          </w:tcPr>
          <w:p>
            <w:pPr>
              <w:spacing w:after="0"/>
              <w:rPr>
                <w:sz w:val="3"/>
                <w:szCs w:val="3"/>
                <w:color w:val="auto"/>
              </w:rPr>
            </w:pPr>
          </w:p>
        </w:tc>
      </w:tr>
    </w:tbl>
    <w:p>
      <w:pPr>
        <w:spacing w:after="0" w:line="173"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b w:val="1"/>
          <w:bCs w:val="1"/>
          <w:color w:val="auto"/>
        </w:rPr>
        <w:t>You should rely only on the information contained or incorporated by reference into this prospectus, in the applicable prospectus supplement or in any free writing prospectus filed by us with the SEC. We have not authorized any other person to provide you with different information. If anyone provides you with different or inconsistent information, you should not rely on it. You should not assume that the information contained or incorporated by reference into this prospectus and any prospectus supplement or in any free writing prospectus is accurate as of any date other than the respective dates thereof. Our business, financial condition, results of operations and prospects may have changed since those dates.</w:t>
      </w:r>
    </w:p>
    <w:p>
      <w:pPr>
        <w:spacing w:after="0" w:line="162" w:lineRule="exact"/>
        <w:rPr>
          <w:sz w:val="20"/>
          <w:szCs w:val="20"/>
          <w:color w:val="auto"/>
        </w:rPr>
      </w:pPr>
    </w:p>
    <w:p>
      <w:pPr>
        <w:jc w:val="both"/>
        <w:ind w:firstLine="287"/>
        <w:spacing w:after="0" w:line="283" w:lineRule="auto"/>
        <w:rPr>
          <w:sz w:val="20"/>
          <w:szCs w:val="20"/>
          <w:color w:val="auto"/>
        </w:rPr>
      </w:pPr>
      <w:r>
        <w:rPr>
          <w:rFonts w:ascii="Times New Roman" w:cs="Times New Roman" w:eastAsia="Times New Roman" w:hAnsi="Times New Roman"/>
          <w:sz w:val="16"/>
          <w:szCs w:val="16"/>
          <w:b w:val="1"/>
          <w:bCs w:val="1"/>
          <w:color w:val="auto"/>
        </w:rPr>
        <w:t>We and the selling shareholders are not making an offer to sell the securities or soliciting an offer to buy the securities in any jurisdiction where the offer or sale is not permitted.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This prospectus is part of a shelf registration statement that we filed with the Securities and Exchange Commission, or the SEC. By using a shelf registration statement, we or any selling shareholder may, at any time and from time to time, offer and/or sell the securities described in this prospectus in one or more offerings. This prospectus provides you with a general description of the securities offered. We may also add, update or change information contained in this prospectus by means of a prospectus supplement or by incorporating by reference information that we file or furnish to the SEC. If there is any inconsistency between the information in this prospectus and any related prospectus supplement, you should rely on the information in the applicable prospectus supplement. As allowed by the SEC rules, this prospectus and any accompanying prospectus supplement do not contain all of the information included in the registration statement. For further information, we refer you to the registration statement, including its exhibits. Statements contained in this prospectus or any prospectus supplement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6"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You should carefully read this document and any applicable prospectus supplement. You should also read the documents we have referred you to under “Where You Can Find More Information About Us” and “Incorporation of Documents by Reference” below for information on our company, the risks we face and our financial statements. The registration statement and exhibits can be read on the SEC’s website as described under “Where You Can Find More Information About Us.”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this prospectus, unless otherwise indicated or unless the context otherwise requires:</w:t>
      </w:r>
    </w:p>
    <w:p>
      <w:pPr>
        <w:spacing w:after="0" w:line="198" w:lineRule="exact"/>
        <w:rPr>
          <w:sz w:val="20"/>
          <w:szCs w:val="20"/>
          <w:color w:val="auto"/>
        </w:rPr>
      </w:pPr>
    </w:p>
    <w:p>
      <w:pPr>
        <w:ind w:left="560" w:right="20" w:hanging="278"/>
        <w:spacing w:after="0" w:line="280"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refers to the American depositary shares, each of which previously represented 20 Class A ordinary shares; on May 20, 2025 we implemented a substitution listing whereby all ADSs were exchanged into Class A ordinary shares, and our ADR facility was terminated;</w:t>
      </w:r>
    </w:p>
    <w:p>
      <w:pPr>
        <w:spacing w:after="0" w:line="144" w:lineRule="exact"/>
        <w:rPr>
          <w:rFonts w:ascii="Times New Roman" w:cs="Times New Roman" w:eastAsia="Times New Roman" w:hAnsi="Times New Roman"/>
          <w:sz w:val="16"/>
          <w:szCs w:val="16"/>
          <w:color w:val="auto"/>
        </w:rPr>
      </w:pPr>
    </w:p>
    <w:p>
      <w:pPr>
        <w:jc w:val="both"/>
        <w:ind w:left="560" w:hanging="278"/>
        <w:spacing w:after="0" w:line="259"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“the PRC” refers to the People’s Republic of China, including the special administrative regions of Hong Kong and Macau (“Hong Kong ASR” and “Macau SAR”), and only when this prospectus refers to specific laws and regulations adopted by the PRC, reference to “China” or the “PRC” excludes Taiwan, Hong Kong SAR and Macau SAR). Unless the context otherwise indicates, the legal and operational risks associated with operating in China discussed in this prospectus also apply to any operations we may now or in the future carry out in Hong Kong SAR or Macau SAR;</w:t>
      </w:r>
    </w:p>
    <w:p>
      <w:pPr>
        <w:spacing w:after="0" w:line="185"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or “ordinary shares” for periods on or after May 21, 2025 refers to our Class A ordinary shares and Class B ordinary shares, par value of US$0.4 per share, and “shares” or “ordinary shares” for periods prior to May 21, 2025 refers to our Class A ordinary shares and Class B ordinary shares, par value of US$0.001 per share, as the context requires. For purposes of this prospectus and unless the context otherwise requires:</w:t>
      </w:r>
    </w:p>
    <w:p>
      <w:pPr>
        <w:spacing w:after="0" w:line="155" w:lineRule="exact"/>
        <w:rPr>
          <w:rFonts w:ascii="Times New Roman" w:cs="Times New Roman" w:eastAsia="Times New Roman" w:hAnsi="Times New Roman"/>
          <w:sz w:val="16"/>
          <w:szCs w:val="16"/>
          <w:color w:val="auto"/>
        </w:rPr>
      </w:pPr>
    </w:p>
    <w:p>
      <w:pPr>
        <w:jc w:val="both"/>
        <w:ind w:left="860" w:hanging="291"/>
        <w:spacing w:after="0" w:line="265" w:lineRule="auto"/>
        <w:tabs>
          <w:tab w:leader="none" w:pos="86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for periods on or after May 21, 2025 refers to our Class A ordinary shares, par value US$0.4 per share; “Class A ordinary shares” for periods prior to May 21, 2025 refers to our Class A ordinary shares, par value US$0.001 per share, with all such share numbers presented on a post-Share Consolidation basis;</w:t>
      </w:r>
    </w:p>
    <w:p>
      <w:pPr>
        <w:spacing w:after="0" w:line="179"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for periods on or after May 21, 2025 refers to our Class B ordinary shares, par value US$0.4 per share; “Class B ordinary shares” for periods prior to May 21, 2025 refers to our Class B ordinary shares, par value US$0.001 per share, with all such share numbers presented on a post-Share Consolidation basis;</w:t>
      </w:r>
    </w:p>
    <w:p>
      <w:pPr>
        <w:spacing w:after="0" w:line="179"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“former consolidated VIEs” refers to Shenzhen Xinbao Investment Management Co., Ltd., or Xinbao Investment, Fanhua RONS (Beijing) Technologies Co., Ltd., or Fanhua RONS Technologies, and their respective subsidiaries, all of which have been divested in a share exchange transaction with BGM Group Ltd. (“BGM”) on December 27, 2024;</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 w:name="page8"/>
    <w:bookmarkEnd w:id="7"/>
    <w:p>
      <w:pPr>
        <w:ind w:left="56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“WFOEs” refers to Fanhua Insurance Sales Service Group Company Limited, or Fanhua Group Company, and Beijing Fanlian Investment Co., Ltd., or Fanlian Investment. Fanlian Investment was disposed of in June 2025;</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refers to policyholder or our insurance company partner which we define as customer under ASC 606;</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“HK$” and “HK dollars” refers to the legal currency of Hong Kong SAR;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refers to AIFU Inc., a Cayman Islands holding company;</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“provinces” of China refer to the 23 provinces, the four municipalities directly administered by the central government (Beijing, Shanghai, Tianjin and Chongqing), the five autonomous regions (Xinjiang, Tibet, Inner Mongolia, Ningxia and Guangxi), excluding, solely for the purpose of this prospectus, Taiwan, Hong Kong SAR and Macau SAR;</w:t>
      </w:r>
    </w:p>
    <w:p>
      <w:pPr>
        <w:spacing w:after="0" w:line="1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China;</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“U.S. dollars,” “$” or “dollars” refers to the legal currency of the United States; and</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55"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“the Company”, “our” or “AIFU” refers to AIFU Inc. (formerly known as CNinsure Inc., Fanhua Inc. and AIX Inc.) and its subsidiaries and, in the context of describing its operations and consolidated financial information, its former consolidated VIEs which are its consolidated affiliated entities, if applicable. As described elsewhere in this prospectus, we did not own these former consolidated VIEs, and the results of the former consolidated VIEs’ operations only accrued to us through the Contractual Arrangements between the former consolidated VIEs, the former consolidated VIEs’ nominee shareholders, and certain of our subsidiaries. Accordingly, in appropriate contexts we will describe the former consolidated VIEs’ activities separately from those of our directly and indirectly owned subsidiaries, and our use of the terms “we,” “us,” and “our” may not include the former consolidated VIEs in those contexts.</w:t>
      </w:r>
    </w:p>
    <w:p>
      <w:pPr>
        <w:spacing w:after="0" w:line="165"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prospectus are made at a rate of RMB6.9931 to US$1.00,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All discrepancies in any table between the amounts identified as total amounts and the sum of the amounts listed therein are due to rounding.</w:t>
      </w:r>
    </w:p>
    <w:p>
      <w:pPr>
        <w:spacing w:after="0" w:line="162"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On October 31, 2024, our then authorized share capital was reclassified as US$10,000,000 divided into (i) 8,000,000,000 Class A ordinary shares of a nominal or par value of US$0.001 each and (ii) 2,000,000,000 Class B ordinary shares of a nominal or par value of US$0.001 each. Each holder of our Class A ordinary shares is entitled to one vote per share, and each holder of our Class B ordinary shares is entitled to 100 votes per share on all matters subject to vote at a general meeting of us.</w:t>
      </w:r>
    </w:p>
    <w:p>
      <w:pPr>
        <w:spacing w:after="0" w:line="15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On May 20, 2025, we terminated the American depositary receipt facility for our ADSs and ceased the listing of the ADSs on Nasdaq. On May 21, 2025, we implemented a 400-for-1 share consolidation (the “Share Consolidation”), pursuant to which every four hundred (400) issued and authorized Class A ordinary shares and Class B ordinary shares of a par value of US$0.001 each were consolidated into one (1) Class A ordinary shares or Class B ordinary share, respectively, with a par value of US$0.4 per share.</w:t>
      </w:r>
    </w:p>
    <w:p>
      <w:pPr>
        <w:spacing w:after="0" w:line="15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Immediately following the completion of the Share Consolidation, on May 21, 2025, our authorized share capital was increased to US$4,000,000,000 divided into 10,000,000,000 ordinary shares comprising of (i) 8,000,000,000 Class A ordinary shares of a nominal or par value of US$0.4 each, and (ii) 2,000,000,000 Class B ordinary shares of a nominal or par value of US$0.4 each.</w:t>
      </w:r>
    </w:p>
    <w:p>
      <w:pPr>
        <w:spacing w:after="0" w:line="155"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On May 21, 2025, our Class A ordinary shares commenced trading on Nasdaq on a post-Share Consolidation basis in substitution for the ADSs, under the same symbol “AIFU.”</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All share and per share information presented in this prospectus for all periods has been retrospectively adjusted to reflect the Share Consolidation, unless otherwise stated.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clarity, certain figures may also be presented on a pre-consolidation basis followed by their post-consolidation equivalent in parentheses.</w:t>
      </w:r>
    </w:p>
    <w:p>
      <w:pPr>
        <w:spacing w:after="0" w:line="182"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References in any prospectus supplement to “the accompanying prospectus” are to this prospectus and to “the prospectus” are to this prospectus and the applicable prospectus supplement taken together.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This prospectus and any prospectus supplement, and the information incorporated by reference herein may contain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including those listed under “Risk Factors,” that may cause our actual results, performance or achievements to be materially different from those expressed or implied by the forward-looking statements.</w:t>
      </w:r>
    </w:p>
    <w:p>
      <w:pPr>
        <w:spacing w:after="0" w:line="162"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w:t>
      </w:r>
    </w:p>
    <w:p>
      <w:pPr>
        <w:spacing w:after="0" w:line="16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You should read these statements in conjunction with the risk factors discussed under the heading “Risk Factors” included in the applicable prospectus supplement or under similar headings in other documents which are incorporated by reference in this prospectus. And you should read thoroughly this prospectus and the documents that we refer to in this prospectus thoroughly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7"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You should not rely upon forward-looking statements as predictions of future events. The forward-looking statements made in this prospectus relate only to events or information as of the date on which the statements are made in this prospectus. Except as required by law, we undertake no obligation to update or revise any forward-looking statements, whether as a result of new information, future events or otherwise.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80791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5655" cy="8079105"/>
                    </a:xfrm>
                    <a:prstGeom prst="rect">
                      <a:avLst/>
                    </a:prstGeom>
                    <a:noFill/>
                  </pic:spPr>
                </pic:pic>
              </a:graphicData>
            </a:graphic>
          </wp:anchor>
        </w:drawing>
        <w:t>OUR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0"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We are a leading independent financial services platform powered by artificial intelligence. Founded in 1998, we specialize in delivering full-lifecycle insurance solutions and value-added services to individuals and families, with a focus on the mass-affluent and high-net-worth segments.</w:t>
      </w:r>
    </w:p>
    <w:p>
      <w:pPr>
        <w:spacing w:after="0" w:line="144"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Through end-to-end integration across the insurance value chain, we have built an ecosystem connecting financial institutions, licensed intermediaries (including independent agencies), and third-party service providers. Our platform provides holistic support and AI-driven solutions to empower partners in enhancing operational efficiency, enabling precision client matching, and facilitating scalable growth.</w:t>
      </w:r>
    </w:p>
    <w:p>
      <w:pPr>
        <w:spacing w:after="0" w:line="155"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By deeply integrating technologies such as artificial intelligence, big data analytics, and robotic process automation, we offer a suite of intelligent services, including smart customer engagement, risk forecasting and management, intelligent marketing and client education, as well as compliance management and data security. These capabilities enable us and our partners to expand market reach, reduce operational costs, and deliver faster, more tailored services to end customers.</w:t>
      </w:r>
    </w:p>
    <w:p>
      <w:pPr>
        <w:spacing w:after="0" w:line="155"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Against the backdrop of China’s aging population and expanding middle class, demand for retirement planning, health insurance, and wealth management solutions is rising rapidly. To capitalize on these trends, We remain committed to strengthening our AI and data capabilities, advancing the professionalism of our advisory teams, expanding online and offline distribution channels, and deepening integration across our ecosystem to drive industry consolidation and unlock sustained value creation.</w:t>
      </w:r>
    </w:p>
    <w:p>
      <w:pPr>
        <w:spacing w:after="0" w:line="155"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As of March 31, 2026, we, through Fanhua Group Company, controlled seven insurance intermediary companies in mainland China, including one insurance agency with a national operating license, four regional agencies and two insurance brokerage firms.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Holding Company Structure and Contractual Arrangements with the Former Consolidated VIEs</w:t>
      </w:r>
    </w:p>
    <w:p>
      <w:pPr>
        <w:spacing w:after="0" w:line="200"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AIFU Inc. is a Cayman Islands holding company primarily operating in China through our PRC subsidiaries, including Fanhua Zhonglian Enterprise Image Planning (Shenzhen) Co., Ltd., or Zhonglian Enterprise, and Fanhua Xinlian Information Technology Consulting (Shenzhen) Co., Ltd., or Xinlian Information, and their respective subsidiaries.</w:t>
      </w:r>
    </w:p>
    <w:p>
      <w:pPr>
        <w:spacing w:after="0" w:line="155"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We currently conduct our insurance agency business in mainland China primarily through our wholly-owned subsidiary Fanhua Group Company and its subsidiaries. As of March 31, 2026, we, through Fanhua Group Company, have controlling equity ownership in one insurance agency with a national operating license, four regional insurance agencies and two insurance brokerage firms. Fanhua Group Company and its direct and indirect subsidiaries hold the licenses and permits necessary to conduct our insurance intermediary business and internet insurance distribution business in China.</w:t>
      </w:r>
    </w:p>
    <w:p>
      <w:pPr>
        <w:spacing w:after="0" w:line="162"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The following diagram illustrates the corporate structure of us, including the names, places of incorporation and the proportion of ownership interests in our significant subsidiaries and their respective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2" w:right="439" w:bottom="1440" w:gutter="0" w:footer="0" w:header="0"/>
        </w:sectPr>
      </w:pPr>
    </w:p>
    <w:bookmarkStart w:id="10" w:name="page11"/>
    <w:bookmarkEnd w:id="10"/>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5718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655" cy="5718810"/>
                    </a:xfrm>
                    <a:prstGeom prst="rect">
                      <a:avLst/>
                    </a:prstGeom>
                    <a:noFill/>
                  </pic:spPr>
                </pic:pic>
              </a:graphicData>
            </a:graphic>
          </wp:anchor>
        </w:drawing>
        <w:t>Prior to December 27, 2024, due to restriction on foreign ownership and investment in certain internet-based businesses, we operated our internet-based business in China through the former consolidated VIEs, namely Xinbao Investment and Fanhua RONS Technologies, and their subsidiaries, and relied on the Contractual Arrangements among (x) our wholly-owned PRC subsidiaries Fanhua Group Company and Fanlian Investment, (y) the former consolidated VIEs and (z) the individual nominee shareholders of the former consolidated VIEs to control the business operations of the former consolidated VIEs and their subsidiaries.</w:t>
      </w:r>
    </w:p>
    <w:p>
      <w:pPr>
        <w:spacing w:after="0" w:line="162"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Our historical contractual agreements included: (i) technology consulting and service agreements and consulting and service agreements, which enabled us to receive all of the economic benefits of the former consolidated VIEs and their subsidiaries, (ii) loan agreements, powers of attorney and equity pledge agreements, which provided us with effective control over the former consolidated VIEs and their subsidiaries, and (iii) exclusive purchase option agreements, which provided us with the option to purchase all of the equity interests in the former consolidated VIEs, and (iv) equity pledge agreements, which, in combination of the aforementioned loan agreements, provided us with control over the former consolidated VIEs and their subsidiaries. As a result of the historical Contractual Arrangements, we were able to direct the activities of and derive economic benefits from the former consolidated VIEs and were considered the primary beneficiary of the former consolidated VIEs for accounting purposes. Accordingly, we have consolidated the financial results of the former consolidated VIEs in our consolidated financial statements in accordance with U.S. GAAP.</w:t>
      </w:r>
    </w:p>
    <w:p>
      <w:pPr>
        <w:spacing w:after="0" w:line="16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In December 2024, as part of a share exchange transaction with BGM, our beneficial ownership in Xinbao Investment and Fanhua RONS Technologies was transferred to BGM in exchange of Class A ordinary shares of BGM. These Contractual Arrangements were subsequently terminated. As a result, Xinbao Investment and Fanhua RONS Technologies have been deconsolidated from our consolidated financial statements since December 31, 2024. As of the date of this prospectus, our operations in China are conducted by our PRC subsidiaries and we do not have any VIE structure.</w:t>
      </w:r>
    </w:p>
    <w:p>
      <w:pPr>
        <w:spacing w:after="0" w:line="162"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In the opinion of Hai Run Law Firm, our PRC legal counsel, (i) the ownership structure relating to the former consolidated VIEs did not violate the existing PRC laws and regulations; (ii) the Contractual Arrangements with the former consolidated VIEs and the individual shareholders were legal, valid and binding obligation of such parties, and enforceable against such parties in accordance with their respective terms; and (iii) the execution, delivery and performance of the Contractual Arrangements did not result in any violation of the provisions of the articles of association and business licenses of the former consolidated VIEs, and any violation of any current PRC laws and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CSRC Approval and Filing Required for Overseas Securities Offerings</w:t>
      </w:r>
    </w:p>
    <w:p>
      <w:pPr>
        <w:spacing w:after="0" w:line="200"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On February 17, 2023, the China Securities Regulatory Commission, or the CSRC, issued the New Overseas Listing Rules and five guidelines, or collectively, the Filing Rules, which came into effect on March 31, 2023. Under the Filing Rules, a filing-based regulatory system shall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The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securities offerings and listings in an overseas market may also be subject to the filing requirements under the Filing Rules. In addition, we cannot guarantee that new rules or regulations promulgated in the future will not impose any additional requirement on us or otherwise to tighten the regulations on PRC companies seeking overseas offering or listing. Any failure to obtain the relevant approval or complete the filings and other relevant regulatory procedures may subject us to regulatory actions or other penalties from the CSRC or other PRC regulatory authorities, which may have a material adverse effect on our business, operations or financial conditions. See “Item 3. Key Information—3.D. Risk Factors—Risks Related to Doing Business in China —The approval of and filing with the CSRC or other PRC government authorities may be required in connection with our future offshore offerings, capital raising activities and acquisitions or other trading arrangements of domestic enterprises conducted by China-based issuers. We must file with the CSRC within three business days after the issuance, and also may be required to go through cybersecurity review under the new laws and the draft laws and regulations of mainland China if authorities identifying us as a critical information infrastructure operator or requiring us to going through review by the CAC, which remains unclear. And, if required, we cannot predict whether or for how long we will be able to obtain such approval or complete such filing or other regulatory procedures” in the 2025 Form 20-F.</w:t>
      </w:r>
    </w:p>
    <w:p>
      <w:pPr>
        <w:spacing w:after="0" w:line="173"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We are required to make a filing with the CSRC after the completion of any future offering made pursuant to this prospectus and for our other future offerings and listing of our securities in an overseas market under the Filing Rules.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523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5655" cy="5233670"/>
                    </a:xfrm>
                    <a:prstGeom prst="rect">
                      <a:avLst/>
                    </a:prstGeom>
                    <a:noFill/>
                  </pic:spPr>
                </pic:pic>
              </a:graphicData>
            </a:graphic>
          </wp:anchor>
        </w:drawing>
        <w:t>Permissions and Licenses for Our Operations in PRC</w:t>
      </w:r>
    </w:p>
    <w:p>
      <w:pPr>
        <w:spacing w:after="0" w:line="20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We currently conduct our business primarily through our subsidiaries in China, and historically through the former consolidated VIEs and their subsidiaries in China until December 27, 2024. As of the date of this prospectus, our subsidiaries have obtained the requisite licenses and permits from the PRC government authorities that are material for our operations in China, including, among others, the business license, insurance distribution licenses, insurance broker licenses. Theses licenses are the only permissions and approvals that our PRC subsidiaries are required to obtain to conduct our business in China. However, there can be no assurance that we will be able to obtain, renew and/or convert all of the approvals, licenses, and permits required for our existing business operations upon their expiration in a timely manner or duly complete necessary registration or filings with the relevant governmental authorities for any of our new business.</w:t>
      </w:r>
    </w:p>
    <w:p>
      <w:pPr>
        <w:spacing w:after="0" w:line="165"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In addition, as described above, the PRC government has recently tightened the regulation of cybersecurity, and indicated an intent to exert more oversight and control over securities offerings and other capital markets activities that are conducted overseas and foreign investment in China-based companies like us. In addition, we are required to complete the filing with the CSRC for our future overseas securities offerings under the Filing Rules.</w:t>
      </w:r>
    </w:p>
    <w:p>
      <w:pPr>
        <w:spacing w:after="0" w:line="155" w:lineRule="exact"/>
        <w:rPr>
          <w:sz w:val="20"/>
          <w:szCs w:val="20"/>
          <w:color w:val="auto"/>
        </w:rPr>
      </w:pPr>
    </w:p>
    <w:p>
      <w:pPr>
        <w:jc w:val="both"/>
        <w:ind w:firstLine="287"/>
        <w:spacing w:after="0" w:line="270" w:lineRule="auto"/>
        <w:rPr>
          <w:sz w:val="20"/>
          <w:szCs w:val="20"/>
          <w:color w:val="auto"/>
        </w:rPr>
      </w:pPr>
      <w:r>
        <w:rPr>
          <w:rFonts w:ascii="Times New Roman" w:cs="Times New Roman" w:eastAsia="Times New Roman" w:hAnsi="Times New Roman"/>
          <w:sz w:val="15"/>
          <w:szCs w:val="15"/>
          <w:color w:val="auto"/>
        </w:rPr>
        <w:t>We manage our business operations in a prudent manner where we determine whether a particular regulatory permission or approval is required based on opinions and guidance from our in-house and external legal counsel and relevant governmental authorities, as the case may be. As of the date of this prospectus, we have not received any regulatory notice requesting us to obtain a permission or approval that we have concluded is not required. However, given the significant uncertainties of interpretation and implementation of relevant laws and regulations and the enforcement practice by relevant government authorities, we may be required to apply for and obtain additional licenses, permits, filings, or approvals for our business operations in the future. If (i) we or our PRC subsidiaries do not receive or maintain any required permission or approval, (ii) we or our PRC subsidiaries inadvertently concluded that certain permissions or approvals have been acquired or are not required, or (iii) applicable laws, regulations, or interpretations thereof change, and we or our PRC subsidiaries become subject to the requirement of additional permissions or approvals in the future, we may have to expend significant time and costs to procure them. If we are unable to do so, in a timely manner or otherwise, we may become subject to sanctions imposed by the PRC regulatory authorities, which could include fines, penalties, and proceedings against us, and other forms of sanctions, and our ability to conduct our business, invest in mainland China as foreign investments or accept foreign investments, or list on a U.S. or other overseas exchange may be restricted, and our business, reputation, financial condition, and results of operations may be materially and adversely affected, and the value of our shares could significantly decline or become worthless.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 of the Holding Foreign Companies Accountable Act</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The Holding Foreign Companies Accountable Act, or the HFCA Act, was enacted on December 18, 2020 and amended by the Consolidated Appropriations Act, 2023 enacted on December 29, 2022. The amended HFCA Act states if the SEC determines that we have filed audit reports issued by a registered public accounting firm that has not been subject to inspection by the PCAOB for two consecutive years, the SEC shall prohibit our shares from being traded on a national securities exchange or in the over-the-counter trading market in the United States. On December 16, 2021, the PCAOB issued its report notifying the SEC of its determination that it was unable to inspect or investigate completely registered public accounting firms headquartered in mainland China or Hong Kong, or the 2021 Determination, including our former auditor. On May 26, 2022, we were conclusively identified by the SEC as a Commission-Identified Issuer under the HFCA Act. On December 15, 2022, the PCAOB issued a report that vacated its 2021 Determination and removed mainland China and Hong Kong from the list of jurisdictions where it is unable to inspect or investigate completely registered public accounting firms.</w:t>
      </w:r>
    </w:p>
    <w:p>
      <w:pPr>
        <w:spacing w:after="0" w:line="169"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Our current auditor, Enrome LLP which replaced Deloitte Touche Tohmatsu Certified Public Accountants LLP on January 23, 2025, is headquartered in Singapore and subject to inspection by the PCAOB. Our current auditor was not among the PCAOB-registered public accounting firms headquartered in mainland China or Hong Kong that were subject to the 2021 Determination. As a result, we do not believe we are at risk of having our securities subject to a trading prohibition under the HFCA Act unless a new determination is made by the PCAOB.</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2" w:right="439" w:bottom="1440" w:gutter="0" w:footer="0" w:header="0"/>
        </w:sectPr>
      </w:pPr>
    </w:p>
    <w:bookmarkStart w:id="12" w:name="page13"/>
    <w:bookmarkEnd w:id="12"/>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5655" cy="4383405"/>
                    </a:xfrm>
                    <a:prstGeom prst="rect">
                      <a:avLst/>
                    </a:prstGeom>
                    <a:noFill/>
                  </pic:spPr>
                </pic:pic>
              </a:graphicData>
            </a:graphic>
          </wp:anchor>
        </w:drawing>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The delisting of our shares, or the threat of their being delisted, may materially and adversely affect the value of your investment. These risks could result in a material adverse change in our operations and the value of our shares, significantly limit or completely hinder our ability to continue to offer securities to investors, or cause the value of such securities to significantly decline or become worthless. See “Item 3. Key Information—3.D. Risk Factors—Risks Related to Our Ordinary Shares—The PCAOB had historically been unable to inspect our auditors in relation to their audit work performed for our financial statements and the inability of the PCAOB to conduct inspections of our auditors in the past has deprived our investors with the benefits of such inspections.” and “Item 3. Key Information—3.D. Risk Factors—Risks Related to Our Ordinary Shares—Our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in our 2025 Form 20-F.</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 between AIFU Inc, its Subsidiaries and the Former Consolidated VIEs</w:t>
      </w:r>
    </w:p>
    <w:p>
      <w:pPr>
        <w:spacing w:after="0" w:line="200" w:lineRule="exact"/>
        <w:rPr>
          <w:sz w:val="20"/>
          <w:szCs w:val="20"/>
          <w:color w:val="auto"/>
        </w:rPr>
      </w:pPr>
    </w:p>
    <w:p>
      <w:pPr>
        <w:jc w:val="both"/>
        <w:ind w:firstLine="284"/>
        <w:spacing w:after="0" w:line="255" w:lineRule="auto"/>
        <w:rPr>
          <w:sz w:val="20"/>
          <w:szCs w:val="20"/>
          <w:color w:val="auto"/>
        </w:rPr>
      </w:pPr>
      <w:r>
        <w:rPr>
          <w:rFonts w:ascii="Times New Roman" w:cs="Times New Roman" w:eastAsia="Times New Roman" w:hAnsi="Times New Roman"/>
          <w:sz w:val="16"/>
          <w:szCs w:val="16"/>
          <w:color w:val="auto"/>
        </w:rPr>
        <w:t>Under PRC law, we may provide funding to our PRC subsidiaries only through capital contributions or loans, and to the former consolidated VIEs only through loans, subject to the satisfaction of applicable government registration and approval requirements. We rely on dividends and other distributions from our PRC subsidiaries to satisfy part of our liquidity requirement. Under the historical Contractual Arrangements among our WFOEs, namely Fanhua Group Company and Fanlian Investment, the former consolidated VIEs, and the shareholders of the former consolidated VIEs, our WFOEs provided consultation and training services to the former consolidated VIEs, and were entitled to all of the economic benefits of the former consolidated VIEs and its subsidiaries in the form of service fees. The historical Contractual Arrangements provided that the former consolidated VIEs shall pay a quarterly fee calculated primarily based on a percentage of its revenues.</w:t>
      </w:r>
    </w:p>
    <w:p>
      <w:pPr>
        <w:spacing w:after="0" w:line="165" w:lineRule="exact"/>
        <w:rPr>
          <w:sz w:val="20"/>
          <w:szCs w:val="20"/>
          <w:color w:val="auto"/>
        </w:rPr>
      </w:pPr>
    </w:p>
    <w:p>
      <w:pPr>
        <w:jc w:val="both"/>
        <w:ind w:firstLine="284"/>
        <w:spacing w:after="0" w:line="252" w:lineRule="auto"/>
        <w:rPr>
          <w:sz w:val="20"/>
          <w:szCs w:val="20"/>
          <w:color w:val="auto"/>
        </w:rPr>
      </w:pPr>
      <w:r>
        <w:rPr>
          <w:rFonts w:ascii="Times New Roman" w:cs="Times New Roman" w:eastAsia="Times New Roman" w:hAnsi="Times New Roman"/>
          <w:sz w:val="16"/>
          <w:szCs w:val="16"/>
          <w:color w:val="auto"/>
        </w:rPr>
        <w:t>Technology consulting and service agreements were entered into between (i) Fanhua Group Company and (ii) Xinbao Investment and each of its subsidiaries on March 1, 2022 and consulting and service agreements were entered into between (i) Fanlian Investment and (ii) Fanhua RONS Technologies and each of its subsidiaries. No service fees were incurred in 2023, 2024 and 2025. The cash flows occurred between our subsidiaries and the former consolidated VIEs included the following: (1) cash received by the former consolidated VIEs from our subsidiaries as inter-company advances amounted to RMB39.4 million, RMB46.8 million and nil for the years ended December 31, 2023, 2024 and 2025, respectively; and (2) net commissions received by our subsidiaries from the former consolidated VIEs offset by technology services paid by our subsidiaries to the former consolidated VIEs amounted to RMB56.7 million, RMB34.5 million and nil for the years ended December 31, 2023, 2024 and 2025, respectively. Although we had previously declared and paid cash dividends, we have no plan to declare or pay any dividends in the near future on our Class A ordinary shares. We currently intend to retain most, if not all, of our available funds and any future earnings to operate and expand our business. See “—Financial Information Related to the Former Consolidated VIEs” below and “Item 8. Financial Information—8.A. Consolidated Statements and Other Financial Information—Dividend Policy” in our 2025 Form 20-F.</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4"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511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5655" cy="5111750"/>
                    </a:xfrm>
                    <a:prstGeom prst="rect">
                      <a:avLst/>
                    </a:prstGeom>
                    <a:noFill/>
                  </pic:spPr>
                </pic:pic>
              </a:graphicData>
            </a:graphic>
          </wp:anchor>
        </w:drawing>
        <w:t>Restrictions on Foreign Exchange and our Ability to Transfer Cash between Entities, Across Borders and to U.S. Investors</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As of the date of this prospectus, we do not have cash management policies and procedures in place that dictate how funds are transferred through our organization. Rather, the funds can be transferred in accordance with the applicable PRC laws and regulations, subject to satisfaction of applicable government registration and approval requirements. To the extent cash or assets are held in mainland China or by a mainland China entity, the funds or assets may not be available to fund operations or for other use outside of mainland China due to the intervention in or imposition of restrictions and limitations on the ability of AIFU Inc. or our subsidiaries by the PRC government to transfer cash or assets. While there are currently no such restrictions or limitations in Hong Kong on cash transfers to, or from, entities in Hong Kong, if certain PRC laws and regulations, including existing laws and regulations and those enacted or promulgated in the future, were to become applicable to our Hong Kong subsidiaries in the future, and to the extent our cash or assets are in Hong Kong or a Hong Kong entity, such funds or assets may not be available due to the interventions in or imposition of restrictions and limitations on our ability to transfer funds or assets by the PRC government.</w:t>
      </w:r>
    </w:p>
    <w:p>
      <w:pPr>
        <w:spacing w:after="0" w:line="169"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AIFU Inc.’s ability to pay dividends, if any, to its shareholders and to service any debt it may incur will depend upon dividends paid by the WFOEs. Under PRC laws and regulations, the WFOEs are subject to certain restrictions with respect to paying dividends or otherwise transferring any of their net assets offshore to AIFU Inc.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The WFOEs are required to set aside at least 10% of their respective after-tax profits each year, after making up previous years’ accumulated losses, if any, to fund certain statutory reserve funds, until the aggregate amount of such a fund reaches 50% of their respective registered capital. At its discretion, each of the WFOEs may allocate a portion of its after-tax profits based on PRC GAAP to discretional funds. As a result, the WFOEs may not have sufficient distributable profits to pay dividends to us in the near future. See “Item 3. Key Information—3.D. Risk Factors—Risks Related to Doing Business in China—We rely principally on dividends and other distributions on equity paid by our subsidiaries to fund any cash and financing requirements we may have, and any limitation on the ability of our subsidiaries to make payments to us could have a material adverse effect on our ability to conduct our business.” in our 2025 Form 20-F.</w:t>
      </w:r>
    </w:p>
    <w:p>
      <w:pPr>
        <w:spacing w:after="0" w:line="171" w:lineRule="exact"/>
        <w:rPr>
          <w:sz w:val="20"/>
          <w:szCs w:val="20"/>
          <w:color w:val="auto"/>
        </w:rPr>
      </w:pPr>
    </w:p>
    <w:p>
      <w:pPr>
        <w:jc w:val="both"/>
        <w:ind w:firstLine="287"/>
        <w:spacing w:after="0" w:line="251" w:lineRule="auto"/>
        <w:rPr>
          <w:sz w:val="20"/>
          <w:szCs w:val="20"/>
          <w:color w:val="auto"/>
        </w:rPr>
      </w:pPr>
      <w:r>
        <w:rPr>
          <w:rFonts w:ascii="Times New Roman" w:cs="Times New Roman" w:eastAsia="Times New Roman" w:hAnsi="Times New Roman"/>
          <w:sz w:val="16"/>
          <w:szCs w:val="16"/>
          <w:color w:val="auto"/>
        </w:rPr>
        <w:t>Furthermore, if certain procedural requirements are satisfied, the payment of current account items, including profit distributions and trade and service related foreign exchange transactions, can be made in foreign currencies without prior approval from State Administration of Foreign Exchange, or the SAFE, or its local branches, by complying with certain procedural requirements under PRC foreign exchange regulations, such as the overseas investment registrations by the beneficial owners of our Company who are PRC residents.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If any of our subsidiaries incurs debt on its own behalf in the future, the instruments governing such debt may restrict its ability to pay dividends to AIFU Inc. In addition, the WFOE is required to make appropriations to certain statutory reserve funds, which are not distributable as cash dividends except in the event of a solvent liquidation of the companies. See “Item 3. Key Information—3.D. Risk Factors—Risks Related to Doing Business in China—PRC governmental control of currency conversion may limit our ability to utilize our revenues effectively and affect the value of your investment” in the 2025 Form 20-F.</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For PRC and United States federal income tax consideration of an investment in our shares, see “Taxation.”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5074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5655" cy="5074285"/>
                    </a:xfrm>
                    <a:prstGeom prst="rect">
                      <a:avLst/>
                    </a:prstGeom>
                    <a:noFill/>
                  </pic:spPr>
                </pic:pic>
              </a:graphicData>
            </a:graphic>
          </wp:anchor>
        </w:drawing>
        <w:t>Financial Information Related to the Former Consolidated VIEs</w:t>
      </w:r>
    </w:p>
    <w:p>
      <w:pPr>
        <w:spacing w:after="0" w:line="200"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The following tables set forth the summary of the consolidated statement of income and cash flows in 2023 and 2024 of AIFU Inc., our wholly foreign-owned subsidiaries (“WFOEs”), or Fanhua Group Company and Fanlian Investment, that were the primary beneficiaries of the former consolidated VIEs under accounting principles generally accepted in the United States, or U.S. GAAP, our other subsidiaries and the former consolidated VIEs and their subsidiaries.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2024</w:t>
            </w: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Eliminating</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VIEs and their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300" w:type="dxa"/>
            <w:vAlign w:val="bottom"/>
            <w:gridSpan w:val="2"/>
            <w:vMerge w:val="continue"/>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4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WFOEs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300" w:type="dxa"/>
            <w:vAlign w:val="bottom"/>
            <w:gridSpan w:val="2"/>
          </w:tcPr>
          <w:p>
            <w:pPr>
              <w:jc w:val="right"/>
              <w:ind w:right="240"/>
              <w:spacing w:after="0" w:line="238" w:lineRule="exact"/>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6"/>
                <w:szCs w:val="26"/>
                <w:b w:val="1"/>
                <w:bCs w:val="1"/>
                <w:color w:val="auto"/>
                <w:w w:val="96"/>
                <w:vertAlign w:val="superscript"/>
              </w:rPr>
              <w:t>(1)</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1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178,697</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1,279,788</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(126,707)</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1,331,778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Third-party revenues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123,593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1,208,185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1,331,778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Intra-Group revenues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55,104</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71,603</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(126,707)</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(46,159)</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(164,218)</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(15,775)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(1,679,451)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126,707</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(1,778,896)</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Third-party operating costs and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(46,159)</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(92,617)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(15,773)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(1,624,347)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(1,778,896)</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Intra-Group operating costs and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(71,601)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(55,104)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126,707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(46,159)</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14,479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(15,775)</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(399,663)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(447,118)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353</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1,422</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10,566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2,751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15,092</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5,095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23,131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14,062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42,288</w:t>
            </w:r>
          </w:p>
        </w:tc>
        <w:tc>
          <w:tcPr>
            <w:tcW w:w="0" w:type="dxa"/>
            <w:vAlign w:val="bottom"/>
          </w:tcPr>
          <w:p>
            <w:pPr>
              <w:spacing w:after="0"/>
              <w:rPr>
                <w:sz w:val="1"/>
                <w:szCs w:val="1"/>
                <w:color w:val="auto"/>
              </w:rPr>
            </w:pPr>
          </w:p>
        </w:tc>
      </w:tr>
      <w:tr>
        <w:trPr>
          <w:trHeight w:val="175"/>
        </w:trPr>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Gains (Losses) from fair value change of a short</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investment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4,089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(82,588)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(78,499)</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from the disposal of subsidiaries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894,671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Others,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3,844</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5,581</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(47,970)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10,784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(27,761)</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 of income from subsidiaries and the VIEs</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VIEs’ subsidiaries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487,738</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12,327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(500,065)</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Share of income of affiliates, net of impairment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(5,052)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(5,052)</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(91,342)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(91,954)</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from continuing operations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454,960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20,870</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343,623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(500,065)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304,302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operations, net</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5,172</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454,960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20,870</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348,795</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(500,065)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309,474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w:t>
      </w:r>
    </w:p>
    <w:p>
      <w:pPr>
        <w:spacing w:after="0" w:line="198" w:lineRule="exact"/>
        <w:rPr>
          <w:sz w:val="20"/>
          <w:szCs w:val="20"/>
          <w:color w:val="auto"/>
        </w:rPr>
      </w:pPr>
    </w:p>
    <w:p>
      <w:pPr>
        <w:jc w:val="both"/>
        <w:ind w:left="300" w:hanging="295"/>
        <w:spacing w:after="0" w:line="265" w:lineRule="auto"/>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mainly represents (i) the intercompany service fee related to agency services for distributing life insurance products and non-life insurance products on behalf of insurance companies provide by consolidated affiliated entities to subsidiaries and (ii) the intercompany service fee related to technology services provided by our consolidated variable interest entities to our subsidiaries.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2"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32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2023</w:t>
            </w: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60"/>
              <w:spacing w:after="0" w:line="173"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Eliminating</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VIEs and their</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300" w:type="dxa"/>
            <w:vAlign w:val="bottom"/>
            <w:gridSpan w:val="2"/>
            <w:vMerge w:val="continue"/>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43"/>
        </w:trPr>
        <w:tc>
          <w:tcPr>
            <w:tcW w:w="3220" w:type="dxa"/>
            <w:vAlign w:val="bottom"/>
          </w:tcPr>
          <w:p>
            <w:pPr>
              <w:spacing w:after="0"/>
              <w:rPr>
                <w:sz w:val="21"/>
                <w:szCs w:val="21"/>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4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WFOEs</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300" w:type="dxa"/>
            <w:vAlign w:val="bottom"/>
            <w:gridSpan w:val="2"/>
          </w:tcPr>
          <w:p>
            <w:pPr>
              <w:jc w:val="right"/>
              <w:ind w:right="240"/>
              <w:spacing w:after="0" w:line="238" w:lineRule="exact"/>
              <w:rPr>
                <w:sz w:val="20"/>
                <w:szCs w:val="20"/>
                <w:color w:val="auto"/>
              </w:rPr>
            </w:pPr>
            <w:r>
              <w:rPr>
                <w:rFonts w:ascii="Times New Roman" w:cs="Times New Roman" w:eastAsia="Times New Roman" w:hAnsi="Times New Roman"/>
                <w:sz w:val="16"/>
                <w:szCs w:val="16"/>
                <w:b w:val="1"/>
                <w:bCs w:val="1"/>
                <w:color w:val="auto"/>
                <w:w w:val="96"/>
              </w:rPr>
              <w:t xml:space="preserve">adjustments </w:t>
            </w:r>
            <w:r>
              <w:rPr>
                <w:rFonts w:ascii="Times New Roman" w:cs="Times New Roman" w:eastAsia="Times New Roman" w:hAnsi="Times New Roman"/>
                <w:sz w:val="26"/>
                <w:szCs w:val="26"/>
                <w:b w:val="1"/>
                <w:bCs w:val="1"/>
                <w:color w:val="auto"/>
                <w:w w:val="96"/>
                <w:vertAlign w:val="superscript"/>
              </w:rPr>
              <w:t>(1)</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net revenues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168,965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2,718,767</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(127,284)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2,760,448</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Third-party revenues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122,880</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2,637,568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2,760,448</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Intra-Group revenues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46,085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81,199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(127,284)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(24,645)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(182,156)</w:t>
            </w: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(29,953)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(2,472,510)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125,289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(2,583,975)</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Third-party operating costs and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(24,645)</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(100,956)</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(29,953)</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(2,428,421)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(2,583,975)</w:t>
            </w:r>
          </w:p>
        </w:tc>
        <w:tc>
          <w:tcPr>
            <w:tcW w:w="0" w:type="dxa"/>
            <w:vAlign w:val="bottom"/>
          </w:tcPr>
          <w:p>
            <w:pPr>
              <w:spacing w:after="0"/>
              <w:rPr>
                <w:sz w:val="1"/>
                <w:szCs w:val="1"/>
                <w:color w:val="auto"/>
              </w:rPr>
            </w:pP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Intra-Group operating costs and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(81,200)</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(44,089)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125,289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(24,645)</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(13,191)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(29,953)</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246,257</w:t>
            </w: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(1,995)</w:t>
            </w:r>
          </w:p>
        </w:tc>
        <w:tc>
          <w:tcPr>
            <w:tcW w:w="2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176,473</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1,182</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4,688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15,005</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10,359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21,105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16,786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48,250</w:t>
            </w:r>
          </w:p>
        </w:tc>
        <w:tc>
          <w:tcPr>
            <w:tcW w:w="0" w:type="dxa"/>
            <w:vAlign w:val="bottom"/>
          </w:tcPr>
          <w:p>
            <w:pPr>
              <w:spacing w:after="0"/>
              <w:rPr>
                <w:sz w:val="1"/>
                <w:szCs w:val="1"/>
                <w:color w:val="auto"/>
              </w:rPr>
            </w:pPr>
          </w:p>
        </w:tc>
      </w:tr>
      <w:tr>
        <w:trPr>
          <w:trHeight w:val="175"/>
        </w:trPr>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Gains from fair value change of a short term</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96,217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102,867</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409</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1,408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6,172</w:t>
            </w:r>
          </w:p>
        </w:tc>
        <w:tc>
          <w:tcPr>
            <w:tcW w:w="0" w:type="dxa"/>
            <w:vAlign w:val="bottom"/>
          </w:tcPr>
          <w:p>
            <w:pPr>
              <w:spacing w:after="0"/>
              <w:rPr>
                <w:sz w:val="1"/>
                <w:szCs w:val="1"/>
                <w:color w:val="auto"/>
              </w:rPr>
            </w:pPr>
          </w:p>
        </w:tc>
      </w:tr>
      <w:tr>
        <w:trPr>
          <w:trHeight w:val="175"/>
        </w:trPr>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Share of income from subsidiaries and the VIEs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VIEs’ subsidiaries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285,595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194,973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(480,568)</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 of income (loss) of affiliates, net of</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1,317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(1,317)</w:t>
            </w:r>
          </w:p>
        </w:tc>
        <w:tc>
          <w:tcPr>
            <w:tcW w:w="0" w:type="dxa"/>
            <w:vAlign w:val="bottom"/>
          </w:tcPr>
          <w:p>
            <w:pPr>
              <w:spacing w:after="0"/>
              <w:rPr>
                <w:sz w:val="1"/>
                <w:szCs w:val="1"/>
                <w:color w:val="auto"/>
              </w:rPr>
            </w:pPr>
          </w:p>
        </w:tc>
      </w:tr>
      <w:tr>
        <w:trPr>
          <w:trHeight w:val="191"/>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(1,485)</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(57,721)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(59,206)</w:t>
            </w:r>
          </w:p>
        </w:tc>
        <w:tc>
          <w:tcPr>
            <w:tcW w:w="0" w:type="dxa"/>
            <w:vAlign w:val="bottom"/>
          </w:tcPr>
          <w:p>
            <w:pPr>
              <w:spacing w:after="0"/>
              <w:rPr>
                <w:sz w:val="1"/>
                <w:szCs w:val="1"/>
                <w:color w:val="auto"/>
              </w:rPr>
            </w:pPr>
          </w:p>
        </w:tc>
      </w:tr>
      <w:tr>
        <w:trPr>
          <w:trHeight w:val="191"/>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 from continuing operations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280,477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(13,085)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198,414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305,001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(482,563)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288,244</w:t>
            </w:r>
          </w:p>
        </w:tc>
        <w:tc>
          <w:tcPr>
            <w:tcW w:w="0" w:type="dxa"/>
            <w:vAlign w:val="bottom"/>
          </w:tcPr>
          <w:p>
            <w:pPr>
              <w:spacing w:after="0"/>
              <w:rPr>
                <w:sz w:val="1"/>
                <w:szCs w:val="1"/>
                <w:color w:val="auto"/>
              </w:rPr>
            </w:pPr>
          </w:p>
        </w:tc>
      </w:tr>
      <w:tr>
        <w:trPr>
          <w:trHeight w:val="173"/>
        </w:trPr>
        <w:tc>
          <w:tcPr>
            <w:tcW w:w="322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operations, net</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855</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855</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280,477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(13,085)</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198,414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305,856</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(482,563)</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289,099</w:t>
            </w:r>
          </w:p>
        </w:tc>
        <w:tc>
          <w:tcPr>
            <w:tcW w:w="0" w:type="dxa"/>
            <w:vAlign w:val="bottom"/>
          </w:tcPr>
          <w:p>
            <w:pPr>
              <w:spacing w:after="0"/>
              <w:rPr>
                <w:sz w:val="1"/>
                <w:szCs w:val="1"/>
                <w:color w:val="auto"/>
              </w:rPr>
            </w:pPr>
          </w:p>
        </w:tc>
      </w:tr>
      <w:tr>
        <w:trPr>
          <w:trHeight w:val="24"/>
        </w:trPr>
        <w:tc>
          <w:tcPr>
            <w:tcW w:w="3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4345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5655" cy="4345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Note:</w:t>
      </w:r>
    </w:p>
    <w:p>
      <w:pPr>
        <w:spacing w:after="0" w:line="198" w:lineRule="exact"/>
        <w:rPr>
          <w:sz w:val="20"/>
          <w:szCs w:val="20"/>
          <w:color w:val="auto"/>
        </w:rPr>
      </w:pPr>
    </w:p>
    <w:p>
      <w:pPr>
        <w:jc w:val="both"/>
        <w:ind w:left="300" w:hanging="295"/>
        <w:spacing w:after="0" w:line="265"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elimination mainly represents (i) the intercompany service fee related to agency services for distributing life insurance products and non-life insurance products on behalf of insurance companies provide by consolidated affiliated entities to subsidiaries and (ii) the intercompany service fee related to technology services provided by our consolidated variable interest entities to our subsidiaries.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34" w:right="4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504"/>
        </w:trPr>
        <w:tc>
          <w:tcPr>
            <w:tcW w:w="100" w:type="dxa"/>
            <w:vAlign w:val="bottom"/>
            <w:tcBorders>
              <w:top w:val="single" w:sz="8" w:color="auto"/>
              <w:left w:val="single" w:sz="8" w:color="auto"/>
            </w:tcBorders>
          </w:tcPr>
          <w:p>
            <w:pPr>
              <w:spacing w:after="0"/>
              <w:rPr>
                <w:sz w:val="24"/>
                <w:szCs w:val="24"/>
                <w:color w:val="auto"/>
              </w:rPr>
            </w:pPr>
          </w:p>
        </w:tc>
        <w:tc>
          <w:tcPr>
            <w:tcW w:w="3220" w:type="dxa"/>
            <w:vAlign w:val="bottom"/>
            <w:tcBorders>
              <w:top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2024</w:t>
            </w:r>
          </w:p>
        </w:tc>
        <w:tc>
          <w:tcPr>
            <w:tcW w:w="12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VIEs and their</w:t>
            </w:r>
          </w:p>
        </w:tc>
        <w:tc>
          <w:tcPr>
            <w:tcW w:w="1460" w:type="dxa"/>
            <w:vAlign w:val="bottom"/>
          </w:tcPr>
          <w:p>
            <w:pPr>
              <w:spacing w:after="0"/>
              <w:rPr>
                <w:sz w:val="16"/>
                <w:szCs w:val="16"/>
                <w:color w:val="auto"/>
              </w:rPr>
            </w:pPr>
          </w:p>
        </w:tc>
        <w:tc>
          <w:tcPr>
            <w:tcW w:w="13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Eliminating</w:t>
            </w:r>
          </w:p>
        </w:tc>
        <w:tc>
          <w:tcPr>
            <w:tcW w:w="13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214"/>
        </w:trPr>
        <w:tc>
          <w:tcPr>
            <w:tcW w:w="100" w:type="dxa"/>
            <w:vAlign w:val="bottom"/>
            <w:tcBorders>
              <w:left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WFOEs</w:t>
            </w:r>
          </w:p>
        </w:tc>
        <w:tc>
          <w:tcPr>
            <w:tcW w:w="13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(RMB in thousands)</w:t>
            </w:r>
          </w:p>
        </w:tc>
        <w:tc>
          <w:tcPr>
            <w:tcW w:w="1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(22,904)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(32,908)</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33,079</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165,585</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142,852</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Net cash (used in) generated from</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transactions with external parties</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(22,904)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33,079</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131,059</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142,852</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Net cash (used in) generated from</w:t>
            </w:r>
          </w:p>
        </w:tc>
        <w:tc>
          <w:tcPr>
            <w:tcW w:w="1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transactions with internal companies</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(34,526)</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34,526</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(3,937)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(25,182)</w:t>
            </w:r>
          </w:p>
        </w:tc>
        <w:tc>
          <w:tcPr>
            <w:tcW w:w="146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(650,466)</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(410,622)</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653,617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(436,590)</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cash generated from (used in) transactions</w:t>
            </w:r>
          </w:p>
        </w:tc>
        <w:tc>
          <w:tcPr>
            <w:tcW w:w="1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 external parties</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(25,182)</w:t>
            </w:r>
          </w:p>
        </w:tc>
        <w:tc>
          <w:tcPr>
            <w:tcW w:w="1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(650,466)</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254,082</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(436,590)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cash generated from (used in) transactions</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internal companies</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11,087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(664,704)</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653,617</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(5,642)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46,797</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617,403</w:t>
            </w: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(69,330)</w:t>
            </w:r>
          </w:p>
        </w:tc>
        <w:tc>
          <w:tcPr>
            <w:tcW w:w="1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(653,617)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(64,389)</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cash (used in) generated from transactions</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vMerge w:val="restart"/>
          </w:tcPr>
          <w:p>
            <w:pPr>
              <w:jc w:val="right"/>
              <w:ind w:right="140"/>
              <w:spacing w:after="0" w:line="195" w:lineRule="exact"/>
              <w:rPr>
                <w:sz w:val="20"/>
                <w:szCs w:val="20"/>
                <w:color w:val="auto"/>
              </w:rPr>
            </w:pPr>
            <w:r>
              <w:rPr>
                <w:rFonts w:ascii="SimSun" w:cs="SimSun" w:eastAsia="SimSun" w:hAnsi="SimSun"/>
                <w:sz w:val="16"/>
                <w:szCs w:val="16"/>
                <w:color w:val="auto"/>
              </w:rPr>
              <w:t>（</w:t>
            </w:r>
            <w:r>
              <w:rPr>
                <w:rFonts w:ascii="Times New Roman" w:cs="Times New Roman" w:eastAsia="Times New Roman" w:hAnsi="Times New Roman"/>
                <w:sz w:val="16"/>
                <w:szCs w:val="16"/>
                <w:color w:val="auto"/>
              </w:rPr>
              <w:t>58,747)</w:t>
            </w: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with external parties</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(5,642)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continue"/>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(64,389)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cash generated from (used in) transactions</w:t>
            </w:r>
          </w:p>
        </w:tc>
        <w:tc>
          <w:tcPr>
            <w:tcW w:w="1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 internal companies</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46,797</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617,403</w:t>
            </w: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(10,583)</w:t>
            </w:r>
          </w:p>
        </w:tc>
        <w:tc>
          <w:tcPr>
            <w:tcW w:w="1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(653,617)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00" w:type="dxa"/>
            <w:vAlign w:val="bottom"/>
            <w:tcBorders>
              <w:left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For the year ended December 31, 2023</w:t>
            </w: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7"/>
              </w:rPr>
              <w:t>Consolidated</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VIEs and their</w:t>
            </w:r>
          </w:p>
        </w:tc>
        <w:tc>
          <w:tcPr>
            <w:tcW w:w="1460" w:type="dxa"/>
            <w:vAlign w:val="bottom"/>
          </w:tcPr>
          <w:p>
            <w:pPr>
              <w:spacing w:after="0"/>
              <w:rPr>
                <w:sz w:val="16"/>
                <w:szCs w:val="16"/>
                <w:color w:val="auto"/>
              </w:rPr>
            </w:pPr>
          </w:p>
        </w:tc>
        <w:tc>
          <w:tcPr>
            <w:tcW w:w="13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Eliminating</w:t>
            </w:r>
          </w:p>
        </w:tc>
        <w:tc>
          <w:tcPr>
            <w:tcW w:w="13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c>
          <w:tcPr>
            <w:tcW w:w="0" w:type="dxa"/>
            <w:vAlign w:val="bottom"/>
          </w:tcPr>
          <w:p>
            <w:pPr>
              <w:spacing w:after="0"/>
              <w:rPr>
                <w:sz w:val="1"/>
                <w:szCs w:val="1"/>
                <w:color w:val="auto"/>
              </w:rPr>
            </w:pPr>
          </w:p>
        </w:tc>
      </w:tr>
      <w:tr>
        <w:trPr>
          <w:trHeight w:val="214"/>
        </w:trPr>
        <w:tc>
          <w:tcPr>
            <w:tcW w:w="100" w:type="dxa"/>
            <w:vAlign w:val="bottom"/>
            <w:tcBorders>
              <w:left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subsidiaries</w:t>
            </w:r>
          </w:p>
        </w:tc>
        <w:tc>
          <w:tcPr>
            <w:tcW w:w="14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WFOEs</w:t>
            </w:r>
          </w:p>
        </w:tc>
        <w:tc>
          <w:tcPr>
            <w:tcW w:w="13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60" w:type="dxa"/>
            <w:vAlign w:val="bottom"/>
            <w:tcBorders>
              <w:right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(RMB in thousands)</w:t>
            </w:r>
          </w:p>
        </w:tc>
        <w:tc>
          <w:tcPr>
            <w:tcW w:w="1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(36,520)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(52,983)</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6,620</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184,670</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101,787</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Net cash (used in) generated from</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transactions with external parties</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(36,520)</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6,620</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127,933</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101,787</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color w:val="auto"/>
              </w:rPr>
              <w:t>Net cash (used in) generated from</w:t>
            </w:r>
          </w:p>
        </w:tc>
        <w:tc>
          <w:tcPr>
            <w:tcW w:w="1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transactions with internal companies</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(56,737)</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56,737</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20,092</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(20,095)</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384,002</w:t>
            </w: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(177,970)</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(451,849)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(245,820)</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cash generated from (used in) transactions</w:t>
            </w:r>
          </w:p>
        </w:tc>
        <w:tc>
          <w:tcPr>
            <w:tcW w:w="1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 external parties</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30,097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14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384,002</w:t>
            </w: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(639,824)</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(245,820)</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cash (used in) generated from transactions</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 internal companies</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(10,005)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461,854</w:t>
            </w: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(451,849)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00" w:type="dxa"/>
            <w:vAlign w:val="bottom"/>
            <w:tcBorders>
              <w:left w:val="single" w:sz="8" w:color="auto"/>
            </w:tcBorders>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(29,044)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39,359</w:t>
            </w:r>
          </w:p>
        </w:tc>
        <w:tc>
          <w:tcPr>
            <w:tcW w:w="1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(502,207)</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137,731</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451,849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97,688</w:t>
            </w: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Net cash (used in) generated from transactions</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 external parties</w:t>
            </w: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(29,044)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126,732</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97,688</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Borders>
              <w:left w:val="single" w:sz="8" w:color="auto"/>
            </w:tcBorders>
          </w:tcPr>
          <w:p>
            <w:pPr>
              <w:spacing w:after="0"/>
              <w:rPr>
                <w:sz w:val="15"/>
                <w:szCs w:val="15"/>
                <w:color w:val="auto"/>
              </w:rPr>
            </w:pPr>
          </w:p>
        </w:tc>
        <w:tc>
          <w:tcPr>
            <w:tcW w:w="32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cash generated from (used in) transactions</w:t>
            </w:r>
          </w:p>
        </w:tc>
        <w:tc>
          <w:tcPr>
            <w:tcW w:w="1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 internal companies</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39,359</w:t>
            </w:r>
          </w:p>
        </w:tc>
        <w:tc>
          <w:tcPr>
            <w:tcW w:w="14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(502,207)</w:t>
            </w: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10,999</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451,849</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00" w:type="dxa"/>
            <w:vAlign w:val="bottom"/>
            <w:tcBorders>
              <w:left w:val="single" w:sz="8" w:color="auto"/>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1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-4734560</wp:posOffset>
            </wp:positionV>
            <wp:extent cx="7004050" cy="242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4050" cy="24257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-4248785</wp:posOffset>
            </wp:positionV>
            <wp:extent cx="7004050"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4050" cy="12128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-3884295</wp:posOffset>
            </wp:positionV>
            <wp:extent cx="7004050" cy="242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4050" cy="24257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-3520440</wp:posOffset>
            </wp:positionV>
            <wp:extent cx="7004050" cy="2425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4050" cy="24257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-2146935</wp:posOffset>
            </wp:positionV>
            <wp:extent cx="7004050" cy="242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4050" cy="24257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-1661160</wp:posOffset>
            </wp:positionV>
            <wp:extent cx="7004050" cy="121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4050" cy="12128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-1296670</wp:posOffset>
            </wp:positionV>
            <wp:extent cx="7004050" cy="242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4050" cy="24257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-932815</wp:posOffset>
            </wp:positionV>
            <wp:extent cx="7004050" cy="242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4050" cy="242570"/>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4747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5655" cy="4747895"/>
                    </a:xfrm>
                    <a:prstGeom prst="rect">
                      <a:avLst/>
                    </a:prstGeom>
                    <a:noFill/>
                  </pic:spPr>
                </pic:pic>
              </a:graphicData>
            </a:graphic>
          </wp:anchor>
        </w:drawing>
        <w:t>Summary of Risk Factors</w:t>
      </w:r>
    </w:p>
    <w:p>
      <w:pPr>
        <w:spacing w:after="0" w:line="200"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in “Risk Factors” and “Item 3. Key Information — D. Risk Factors” in the 2025 Form 20-F, which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and Industry</w:t>
      </w: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face risks and uncertainties in realizing our business objectives and executing our strategies, including:</w:t>
      </w:r>
    </w:p>
    <w:p>
      <w:pPr>
        <w:spacing w:after="0" w:line="198" w:lineRule="exact"/>
        <w:rPr>
          <w:sz w:val="20"/>
          <w:szCs w:val="20"/>
          <w:color w:val="auto"/>
        </w:rPr>
      </w:pPr>
    </w:p>
    <w:p>
      <w:pPr>
        <w:ind w:left="58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be successful in implementing our refined growth strategy or pursuing new growth opportunities, which could adversely affect our business and financial results.</w:t>
      </w:r>
    </w:p>
    <w:p>
      <w:pPr>
        <w:spacing w:after="0" w:line="144"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when our contracts with insurance companies are suspended or changed, our business and operating results will be materially and adversely affected.</w:t>
      </w:r>
    </w:p>
    <w:p>
      <w:pPr>
        <w:spacing w:after="0" w:line="198"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attract and retain productive agents, especially entrepreneurial agents, our business and operating results could be materially and adversely affected.</w:t>
      </w:r>
    </w:p>
    <w:p>
      <w:pPr>
        <w:spacing w:after="0" w:line="198"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of our digitalization and technology initiatives could materially and adversely affect our business, financial condition and results of operations.</w:t>
      </w:r>
    </w:p>
    <w:p>
      <w:pPr>
        <w:spacing w:after="0" w:line="198" w:lineRule="exact"/>
        <w:rPr>
          <w:rFonts w:ascii="Times New Roman" w:cs="Times New Roman" w:eastAsia="Times New Roman" w:hAnsi="Times New Roman"/>
          <w:sz w:val="16"/>
          <w:szCs w:val="16"/>
          <w:color w:val="auto"/>
        </w:rPr>
      </w:pPr>
    </w:p>
    <w:p>
      <w:pPr>
        <w:ind w:left="580" w:right="2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our personnel engaging in insurance agency activities are required under relevant PRC regulations to register with the NFRA’s Insurance Intermediaries Regulatory Information System. If our sales personnel fail to finish practice registration, our business may be materially and adversely affected.</w:t>
      </w:r>
    </w:p>
    <w:p>
      <w:pPr>
        <w:spacing w:after="0" w:line="144" w:lineRule="exact"/>
        <w:rPr>
          <w:rFonts w:ascii="Times New Roman" w:cs="Times New Roman" w:eastAsia="Times New Roman" w:hAnsi="Times New Roman"/>
          <w:sz w:val="16"/>
          <w:szCs w:val="16"/>
          <w:color w:val="auto"/>
        </w:rPr>
      </w:pPr>
    </w:p>
    <w:p>
      <w:pPr>
        <w:ind w:left="58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businesses are highly regulated, and the administration, interpretation and enforcement of the laws and regulations currently applicable to us involve uncertainties, which could materially and adversely affect our business and results of operations.</w:t>
      </w:r>
    </w:p>
    <w:p>
      <w:pPr>
        <w:spacing w:after="0" w:line="144" w:lineRule="exact"/>
        <w:rPr>
          <w:rFonts w:ascii="Times New Roman" w:cs="Times New Roman" w:eastAsia="Times New Roman" w:hAnsi="Times New Roman"/>
          <w:sz w:val="16"/>
          <w:szCs w:val="16"/>
          <w:color w:val="auto"/>
        </w:rPr>
      </w:pPr>
    </w:p>
    <w:p>
      <w:pPr>
        <w:ind w:left="58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regulatory environment in China have materially affected, and may continue to materially and adversely affect, our business and results of operations.</w:t>
      </w:r>
    </w:p>
    <w:p>
      <w:pPr>
        <w:spacing w:after="0" w:line="144" w:lineRule="exact"/>
        <w:rPr>
          <w:rFonts w:ascii="Times New Roman" w:cs="Times New Roman" w:eastAsia="Times New Roman" w:hAnsi="Times New Roman"/>
          <w:sz w:val="16"/>
          <w:szCs w:val="16"/>
          <w:color w:val="auto"/>
        </w:rPr>
      </w:pPr>
    </w:p>
    <w:p>
      <w:pPr>
        <w:ind w:left="580" w:right="2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unsuccessful in identifying suitable acquisition candidates, completing acquisitions, integrating acquired companies or the acquired companies may not perform to our expectations, which could adversely affect our growth.</w:t>
      </w:r>
    </w:p>
    <w:p>
      <w:pPr>
        <w:spacing w:after="0" w:line="144" w:lineRule="exact"/>
        <w:rPr>
          <w:rFonts w:ascii="Times New Roman" w:cs="Times New Roman" w:eastAsia="Times New Roman" w:hAnsi="Times New Roman"/>
          <w:sz w:val="16"/>
          <w:szCs w:val="16"/>
          <w:color w:val="auto"/>
        </w:rPr>
      </w:pPr>
    </w:p>
    <w:p>
      <w:pPr>
        <w:ind w:left="58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our industry is intense and, if we are unable to compete effectively with both existing and new market participants, we may lose customers, and our financial results may be negatively affected.</w:t>
      </w:r>
    </w:p>
    <w:p>
      <w:pPr>
        <w:spacing w:after="0" w:line="144" w:lineRule="exact"/>
        <w:rPr>
          <w:rFonts w:ascii="Times New Roman" w:cs="Times New Roman" w:eastAsia="Times New Roman" w:hAnsi="Times New Roman"/>
          <w:sz w:val="16"/>
          <w:szCs w:val="16"/>
          <w:color w:val="auto"/>
        </w:rPr>
      </w:pPr>
    </w:p>
    <w:p>
      <w:pPr>
        <w:ind w:left="580" w:hanging="288"/>
        <w:spacing w:after="0" w:line="280" w:lineRule="auto"/>
        <w:tabs>
          <w:tab w:leader="none" w:pos="5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the commission and fee we earn on the sale of insurance products is based on premiums, commission and fee rates set by insurance companies, any decrease in these premiums, commission or fee rates may have an adverse effect on our results of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4626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4626610"/>
                    </a:xfrm>
                    <a:prstGeom prst="rect">
                      <a:avLst/>
                    </a:prstGeom>
                    <a:noFill/>
                  </pic:spPr>
                </pic:pic>
              </a:graphicData>
            </a:graphic>
          </wp:anchor>
        </w:drawing>
        <w:t>Risks Related to Our Corporate Structure</w:t>
      </w:r>
    </w:p>
    <w:p>
      <w:pPr>
        <w:spacing w:after="0" w:line="202" w:lineRule="exact"/>
        <w:rPr>
          <w:sz w:val="20"/>
          <w:szCs w:val="20"/>
          <w:color w:val="auto"/>
        </w:rPr>
      </w:pPr>
    </w:p>
    <w:p>
      <w:pPr>
        <w:jc w:val="both"/>
        <w:ind w:left="580" w:hanging="288"/>
        <w:spacing w:after="0" w:line="257"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AIFU Inc. is a Cayman Islands holding company primarily operating in China through its subsidiaries. It historically also operated a small part of its business through Contractual Arrangements with our Former Consolidated VIEs until December 27, 2024. If the PRC government determines that the historical contractual arrangements with the former VIEs structure did not comply with the regulations of mainland China, or if these regulations change or are interpreted differently in the future, our shares may decline in value or become worthless if we are deemed to be unable to assert our contractual control rights over the assets of the former VIEs.</w:t>
      </w:r>
    </w:p>
    <w:p>
      <w:pPr>
        <w:spacing w:after="0" w:line="162" w:lineRule="exact"/>
        <w:rPr>
          <w:rFonts w:ascii="Times New Roman" w:cs="Times New Roman" w:eastAsia="Times New Roman" w:hAnsi="Times New Roman"/>
          <w:sz w:val="16"/>
          <w:szCs w:val="16"/>
          <w:color w:val="auto"/>
        </w:rPr>
      </w:pPr>
    </w:p>
    <w:p>
      <w:pPr>
        <w:ind w:left="580" w:hanging="288"/>
        <w:spacing w:after="0" w:line="280"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Contractual arrangements we have entered into with our former consolidated VIEs may be subject to scrutiny by the PRC tax authorities. A finding that we owe additional taxes could substantially reduce our consolidated net income and the value of your investment.</w:t>
      </w:r>
    </w:p>
    <w:p>
      <w:pPr>
        <w:spacing w:after="0" w:line="144" w:lineRule="exact"/>
        <w:rPr>
          <w:rFonts w:ascii="Times New Roman" w:cs="Times New Roman" w:eastAsia="Times New Roman" w:hAnsi="Times New Roman"/>
          <w:sz w:val="16"/>
          <w:szCs w:val="16"/>
          <w:color w:val="auto"/>
        </w:rPr>
      </w:pPr>
    </w:p>
    <w:p>
      <w:pPr>
        <w:jc w:val="both"/>
        <w:ind w:left="580" w:hanging="288"/>
        <w:spacing w:after="0" w:line="265"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government has significant authority to exert influence on the China operations of an offshore holding company, such as us. Therefore, investors in our shares and our business face potential uncertainty from the PRC government’s policy. Changes in China’s economic, political or social conditions, or government policies could materially and adversely affect our business, financial condition, and results of operations.</w:t>
      </w:r>
    </w:p>
    <w:p>
      <w:pPr>
        <w:spacing w:after="0" w:line="155" w:lineRule="exact"/>
        <w:rPr>
          <w:rFonts w:ascii="Times New Roman" w:cs="Times New Roman" w:eastAsia="Times New Roman" w:hAnsi="Times New Roman"/>
          <w:sz w:val="16"/>
          <w:szCs w:val="16"/>
          <w:color w:val="auto"/>
        </w:rPr>
      </w:pPr>
    </w:p>
    <w:p>
      <w:pPr>
        <w:jc w:val="both"/>
        <w:ind w:left="580" w:right="20" w:hanging="288"/>
        <w:spacing w:after="0" w:line="265"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and evolving legal development, non-compliance with which, or changes in which, may materially and adversely affect our business and prospects, and may result in a material change in our operations and/or the value of our shares or could significantly limit or completely hinder our ability to offer or continue to offer securities to investors and cause the value of our securities to significantly decline or be worthless.</w:t>
      </w:r>
    </w:p>
    <w:p>
      <w:pPr>
        <w:spacing w:after="0" w:line="155" w:lineRule="exact"/>
        <w:rPr>
          <w:rFonts w:ascii="Times New Roman" w:cs="Times New Roman" w:eastAsia="Times New Roman" w:hAnsi="Times New Roman"/>
          <w:sz w:val="16"/>
          <w:szCs w:val="16"/>
          <w:color w:val="auto"/>
        </w:rPr>
      </w:pPr>
    </w:p>
    <w:p>
      <w:pPr>
        <w:ind w:left="580" w:hanging="288"/>
        <w:spacing w:after="0" w:line="280" w:lineRule="auto"/>
        <w:tabs>
          <w:tab w:leader="none" w:pos="5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unclear whether we will be subject to the oversight of the Cyberspace Administration of China and how such oversight may impact us. Our business could be interrupted or we could be subject to liabilities which may materially and adversely affect the results of our operation and the value of your investment.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Doing Business in China</w:t>
      </w:r>
    </w:p>
    <w:p>
      <w:pPr>
        <w:spacing w:after="0" w:line="202" w:lineRule="exact"/>
        <w:rPr>
          <w:sz w:val="20"/>
          <w:szCs w:val="20"/>
          <w:color w:val="auto"/>
        </w:rPr>
      </w:pPr>
    </w:p>
    <w:p>
      <w:pPr>
        <w:jc w:val="both"/>
        <w:ind w:left="580" w:hanging="288"/>
        <w:spacing w:after="0" w:line="257"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of and filing with the CSRC or other PRC government authorities may be required in connection with our future offshore offerings, capital raising activities and acquisitions or other trading arrangements of domestic enterprises conducted by China-based issuers. We must file with the CSRC within three business days after the issuance, and also may be required to go through cybersecurity review under the new laws and the draft laws and regulations of mainland China if authorities identifying us as a critical information infrastructure operator or requiring us to going through review by the CAC, which remains unclear. And, if required, we cannot predict whether or for how long we will be able to obtain such approval or complete such filing or other regulatory procedures.</w:t>
      </w:r>
    </w:p>
    <w:p>
      <w:pPr>
        <w:spacing w:after="0" w:line="162" w:lineRule="exact"/>
        <w:rPr>
          <w:rFonts w:ascii="Times New Roman" w:cs="Times New Roman" w:eastAsia="Times New Roman" w:hAnsi="Times New Roman"/>
          <w:sz w:val="16"/>
          <w:szCs w:val="16"/>
          <w:color w:val="auto"/>
        </w:rPr>
      </w:pPr>
    </w:p>
    <w:p>
      <w:pPr>
        <w:jc w:val="both"/>
        <w:ind w:left="580" w:hanging="288"/>
        <w:spacing w:after="0" w:line="257" w:lineRule="auto"/>
        <w:tabs>
          <w:tab w:leader="none" w:pos="5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in the PRC legal system and the interpretation and enforcement of PRC laws and regulations could limit the legal protections available to you and us, significantly limit or completely hinder our ability to offer or continue to offer our shares, cause significant disruption to our business operations, and severely damage our reputation, which would materially and adversely affect our financial condition and results of operations and cause our shares to significantly decline in value or become worthless. In addition, rules and regulations in China can change quickly with little advance notice, therefore, our assertions and beliefs of the risks imposed by the Chinese legal and regulatory system cannot be certain.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0" w:right="439" w:bottom="1440" w:gutter="0" w:footer="0" w:header="0"/>
        </w:sectPr>
      </w:pPr>
    </w:p>
    <w:bookmarkStart w:id="19" w:name="page20"/>
    <w:bookmarkEnd w:id="19"/>
    <w:p>
      <w:pPr>
        <w:ind w:left="580" w:hanging="288"/>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201930</wp:posOffset>
            </wp:positionH>
            <wp:positionV relativeFrom="page">
              <wp:posOffset>408940</wp:posOffset>
            </wp:positionV>
            <wp:extent cx="7145655" cy="4626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5655" cy="4626610"/>
                    </a:xfrm>
                    <a:prstGeom prst="rect">
                      <a:avLst/>
                    </a:prstGeom>
                    <a:noFill/>
                  </pic:spPr>
                </pic:pic>
              </a:graphicData>
            </a:graphic>
          </wp:anchor>
        </w:drawing>
        <w:t>A downturn in the Chinese or global economy could have a material adverse effect on our business.</w:t>
      </w:r>
    </w:p>
    <w:p>
      <w:pPr>
        <w:spacing w:after="0" w:line="198"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control of currency conversion may affect the value of your investment.</w:t>
      </w:r>
    </w:p>
    <w:p>
      <w:pPr>
        <w:spacing w:after="0" w:line="198" w:lineRule="exact"/>
        <w:rPr>
          <w:rFonts w:ascii="Times New Roman" w:cs="Times New Roman" w:eastAsia="Times New Roman" w:hAnsi="Times New Roman"/>
          <w:sz w:val="16"/>
          <w:szCs w:val="16"/>
          <w:color w:val="auto"/>
        </w:rPr>
      </w:pPr>
    </w:p>
    <w:p>
      <w:pPr>
        <w:ind w:left="580" w:right="20" w:hanging="288"/>
        <w:spacing w:after="0" w:line="280" w:lineRule="auto"/>
        <w:tabs>
          <w:tab w:leader="none" w:pos="5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PRC Enterprise Income Tax Law may increase the enterprise income tax rate applicable to some of our PRC subsidiaries, which could have a material adverse effect on our result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Ordinary Shares</w:t>
      </w:r>
    </w:p>
    <w:p>
      <w:pPr>
        <w:spacing w:after="0" w:line="202" w:lineRule="exact"/>
        <w:rPr>
          <w:sz w:val="20"/>
          <w:szCs w:val="20"/>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comply with the applicable continued listing requirements of Nasdaq.</w:t>
      </w:r>
    </w:p>
    <w:p>
      <w:pPr>
        <w:spacing w:after="0" w:line="198" w:lineRule="exact"/>
        <w:rPr>
          <w:rFonts w:ascii="Times New Roman" w:cs="Times New Roman" w:eastAsia="Times New Roman" w:hAnsi="Times New Roman"/>
          <w:sz w:val="16"/>
          <w:szCs w:val="16"/>
          <w:color w:val="auto"/>
        </w:rPr>
      </w:pPr>
    </w:p>
    <w:p>
      <w:pPr>
        <w:ind w:left="580" w:right="20" w:hanging="288"/>
        <w:spacing w:after="0" w:line="280"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PCAOB had historically been unable to inspect our auditors in relation to their audit work performed for our financial statements and the inability of the PCAOB to conduct inspections of our auditors in the past has deprived our investors with the benefits of such inspections.</w:t>
      </w:r>
    </w:p>
    <w:p>
      <w:pPr>
        <w:spacing w:after="0" w:line="144" w:lineRule="exact"/>
        <w:rPr>
          <w:rFonts w:ascii="Times New Roman" w:cs="Times New Roman" w:eastAsia="Times New Roman" w:hAnsi="Times New Roman"/>
          <w:sz w:val="16"/>
          <w:szCs w:val="16"/>
          <w:color w:val="auto"/>
        </w:rPr>
      </w:pPr>
    </w:p>
    <w:p>
      <w:pPr>
        <w:jc w:val="both"/>
        <w:ind w:left="580" w:right="20" w:hanging="288"/>
        <w:spacing w:after="0" w:line="265"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w:t>
      </w:r>
    </w:p>
    <w:p>
      <w:pPr>
        <w:spacing w:after="0" w:line="155" w:lineRule="exact"/>
        <w:rPr>
          <w:rFonts w:ascii="Times New Roman" w:cs="Times New Roman" w:eastAsia="Times New Roman" w:hAnsi="Times New Roman"/>
          <w:sz w:val="16"/>
          <w:szCs w:val="16"/>
          <w:color w:val="auto"/>
        </w:rPr>
      </w:pPr>
    </w:p>
    <w:p>
      <w:pPr>
        <w:ind w:left="580" w:hanging="288"/>
        <w:spacing w:after="0"/>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trading price of our Class A ordinary shares may be volatile.</w:t>
      </w:r>
    </w:p>
    <w:p>
      <w:pPr>
        <w:spacing w:after="0" w:line="198" w:lineRule="exact"/>
        <w:rPr>
          <w:rFonts w:ascii="Times New Roman" w:cs="Times New Roman" w:eastAsia="Times New Roman" w:hAnsi="Times New Roman"/>
          <w:sz w:val="16"/>
          <w:szCs w:val="16"/>
          <w:color w:val="auto"/>
        </w:rPr>
      </w:pPr>
    </w:p>
    <w:p>
      <w:pPr>
        <w:jc w:val="both"/>
        <w:ind w:left="580" w:right="20" w:hanging="288"/>
        <w:spacing w:after="0" w:line="265"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dual-class share structure with different voting rights, holders of Class B ordinary shares have complete control of the outcome of matters put to a vote of shareholders, which may limit ability of holders of our Class A ordinary shares to influence corporate matters and could discourage others from pursuing any change of control transactions that holders of our Class A ordinary shares may view as beneficial.</w:t>
      </w:r>
    </w:p>
    <w:p>
      <w:pPr>
        <w:spacing w:after="0" w:line="155" w:lineRule="exact"/>
        <w:rPr>
          <w:rFonts w:ascii="Times New Roman" w:cs="Times New Roman" w:eastAsia="Times New Roman" w:hAnsi="Times New Roman"/>
          <w:sz w:val="16"/>
          <w:szCs w:val="16"/>
          <w:color w:val="auto"/>
        </w:rPr>
      </w:pPr>
    </w:p>
    <w:p>
      <w:pPr>
        <w:ind w:left="580" w:right="20" w:hanging="288"/>
        <w:spacing w:after="0" w:line="280" w:lineRule="auto"/>
        <w:tabs>
          <w:tab w:leader="none" w:pos="5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 future sales or perceived potential sales of our ordinary shares or other equity securities in the public market could cause the price of our shares to decline.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200" w:lineRule="exact"/>
        <w:rPr>
          <w:sz w:val="20"/>
          <w:szCs w:val="20"/>
          <w:color w:val="auto"/>
        </w:rPr>
      </w:pPr>
    </w:p>
    <w:p>
      <w:pPr>
        <w:jc w:val="both"/>
        <w:ind w:firstLine="284"/>
        <w:spacing w:after="0" w:line="265" w:lineRule="auto"/>
        <w:rPr>
          <w:sz w:val="20"/>
          <w:szCs w:val="20"/>
          <w:color w:val="auto"/>
        </w:rPr>
      </w:pPr>
      <w:r>
        <w:rPr>
          <w:rFonts w:ascii="Times New Roman" w:cs="Times New Roman" w:eastAsia="Times New Roman" w:hAnsi="Times New Roman"/>
          <w:sz w:val="16"/>
          <w:szCs w:val="16"/>
          <w:color w:val="auto"/>
        </w:rPr>
        <w:t>Our principal executive offices are located at Room 1, Building 10, Jinzhong Guobin Hui Qinyuan 2nd Road, Lihu Community, Xili Street, Shenzhen, 518055, People’s Republic of China. Our telephone number at this address is +86-755-2267-1879. Our registered office is at the offices of Maples Corporate Services Limited, PO Box 309, Ugland House, Grand Cayman, KY1-1104, Cayman Islands.</w:t>
      </w:r>
    </w:p>
    <w:p>
      <w:pPr>
        <w:spacing w:after="0" w:line="155" w:lineRule="exact"/>
        <w:rPr>
          <w:sz w:val="20"/>
          <w:szCs w:val="20"/>
          <w:color w:val="auto"/>
        </w:rPr>
      </w:pPr>
    </w:p>
    <w:p>
      <w:pPr>
        <w:jc w:val="both"/>
        <w:ind w:firstLine="284"/>
        <w:spacing w:after="0" w:line="280" w:lineRule="auto"/>
        <w:rPr>
          <w:sz w:val="20"/>
          <w:szCs w:val="20"/>
          <w:color w:val="auto"/>
        </w:rPr>
      </w:pPr>
      <w:r>
        <w:rPr>
          <w:rFonts w:ascii="Times New Roman" w:cs="Times New Roman" w:eastAsia="Times New Roman" w:hAnsi="Times New Roman"/>
          <w:sz w:val="16"/>
          <w:szCs w:val="16"/>
          <w:color w:val="auto"/>
        </w:rPr>
        <w:t>The SEC maintains an internet site that contains reports, proxy and information statements, and other information regarding issuers that file electronically with the SEC at www.sec.gov. You can also find information on our website at http://ir.aifugroup.com. The information contained on our website is not a part of this prospectus.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40"/>
          </w:cols>
          <w:pgMar w:left="420" w:top="924" w:right="4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Any investment in our securities involves a high degree of risk. You should carefully consider the risk factors discussed or incorporated by reference in the applicable prospectus supplement, together with all the other information contained in the prospectus supplement or incorporated by reference in this prospectus. You should also consider the risks and uncertainties discussed under the heading “Risk Factors” in our annual report on Form 20-F for the fiscal year ended December 31, 2025, which is incorporated by reference in this prospectus, and which may be amended, supplemented or superseded from time to time by other reports we file with the SEC in the future.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1" w:name="page22"/>
    <w:bookmarkEnd w:id="21"/>
    <w:p>
      <w:pPr>
        <w:ind w:left="460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intend to use the net proceeds from the sale of the securities we offer as set forth in the applicable prospectus supplement(s).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will not receive any proceeds from the sale or other distribution of our securities by the selling shareholders.</w:t>
      </w:r>
    </w:p>
    <w:p>
      <w:pPr>
        <w:spacing w:after="0" w:line="39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859"/>
          </w:cols>
          <w:pgMar w:left="600" w:top="814"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SHARE CAPITAL</w:t>
      </w:r>
    </w:p>
    <w:p>
      <w:pPr>
        <w:spacing w:after="0" w:line="200" w:lineRule="exact"/>
        <w:rPr>
          <w:sz w:val="20"/>
          <w:szCs w:val="20"/>
          <w:color w:val="auto"/>
        </w:rPr>
      </w:pPr>
    </w:p>
    <w:p>
      <w:pPr>
        <w:jc w:val="both"/>
        <w:ind w:right="20" w:firstLine="284"/>
        <w:spacing w:after="0" w:line="265" w:lineRule="auto"/>
        <w:rPr>
          <w:sz w:val="20"/>
          <w:szCs w:val="20"/>
          <w:color w:val="auto"/>
        </w:rPr>
      </w:pPr>
      <w:r>
        <w:rPr>
          <w:rFonts w:ascii="Times New Roman" w:cs="Times New Roman" w:eastAsia="Times New Roman" w:hAnsi="Times New Roman"/>
          <w:sz w:val="16"/>
          <w:szCs w:val="16"/>
          <w:color w:val="auto"/>
        </w:rPr>
        <w:t>The following is a summary of our share capital and certain provisions of our currently effective memorandum and articles of association. This summary does not purport to be complete and is qualified in its entirety by the provisions of our currently effective memorandum and articles of association and applicable provisions of the laws of the Cayman Islands. All capitalized terms used in this section are as defined in our currently effective memorandum and articles of association, unless elsewhere defined herein.</w:t>
      </w:r>
    </w:p>
    <w:p>
      <w:pPr>
        <w:spacing w:after="0" w:line="155" w:lineRule="exact"/>
        <w:rPr>
          <w:sz w:val="20"/>
          <w:szCs w:val="20"/>
          <w:color w:val="auto"/>
        </w:rPr>
      </w:pPr>
    </w:p>
    <w:p>
      <w:pPr>
        <w:jc w:val="both"/>
        <w:ind w:firstLine="284"/>
        <w:spacing w:after="0" w:line="265"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with limited liability and our affairs are governed by our memorandum and articles of association, as amended and restated from time to time, and the Companies Act (As Revised) of the Cayman Islands, which we refer to as the “Companies Act” below, and the common law of the Cayman Islands.</w:t>
      </w:r>
    </w:p>
    <w:p>
      <w:pPr>
        <w:spacing w:after="0" w:line="155"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As of the date of this prospectus, our authorized share capital is US$4,000,000,000 divided into 10,000,000,000 ordinary shares, comprising of (i) 8,000,000,000 Class A ordinary shares of a nominal or par value of US$0.4 each, and (ii) 2,000,000,000 Class B ordinary shares of a nominal or par value of US$0.4 each. As of the date of this prospectus, 123,514,110 ordinary shares are issued and outstanding, comprising of 118,514,110 Class A ordinary shares and 5,000,000 Class B ordinary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Memorandum and Articles of Association</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following are summaries of material provisions of our amended and restated memorandum and articles of association adopted by a special resolution passed on April 17, 2025 and the Companies Act, insofar as they relate to the material terms of our ordinary shares.</w:t>
      </w:r>
    </w:p>
    <w:p>
      <w:pPr>
        <w:spacing w:after="0" w:line="142"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i w:val="1"/>
          <w:iCs w:val="1"/>
          <w:color w:val="auto"/>
        </w:rPr>
        <w:t>Objects of Our Company</w:t>
      </w:r>
      <w:r>
        <w:rPr>
          <w:rFonts w:ascii="Times New Roman" w:cs="Times New Roman" w:eastAsia="Times New Roman" w:hAnsi="Times New Roman"/>
          <w:sz w:val="16"/>
          <w:szCs w:val="16"/>
          <w:color w:val="auto"/>
        </w:rPr>
        <w:t>. The objects for which our company is established are unrestricted and we have full power and authority to carry out any object not prohibited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Companies Act or as the same may be revised from time to time, or any other law of the Cayman Islands.</w:t>
      </w:r>
    </w:p>
    <w:p>
      <w:pPr>
        <w:spacing w:after="0" w:line="14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i w:val="1"/>
          <w:iCs w:val="1"/>
          <w:color w:val="auto"/>
        </w:rPr>
        <w:t>Ordinary Shares</w:t>
      </w:r>
      <w:r>
        <w:rPr>
          <w:rFonts w:ascii="Times New Roman" w:cs="Times New Roman" w:eastAsia="Times New Roman" w:hAnsi="Times New Roman"/>
          <w:sz w:val="16"/>
          <w:szCs w:val="16"/>
          <w:color w:val="auto"/>
        </w:rPr>
        <w:t>. Our authorized share capital is US$4,000,000,000 divided into 10,000,000,000 Ordinary Shares, comprising of (i) 8,000,000,000 Class A Ordinary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a nominal or par value of US$0.4 each, and (ii) 2,000,000,000 Class B Ordinary Shares of a nominal or par value of US$0.4 each. All of our issued and outstanding ordinary shares are fully paid and non-assessable. Certificates representing the ordinary shares are issued in registered form. Our shareholders who are nonresidents of the Cayman Islands may freely hold and vote their shares.</w:t>
      </w:r>
    </w:p>
    <w:p>
      <w:pPr>
        <w:spacing w:after="0" w:line="159"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Dividend Rights</w:t>
      </w:r>
      <w:r>
        <w:rPr>
          <w:rFonts w:ascii="Times New Roman" w:cs="Times New Roman" w:eastAsia="Times New Roman" w:hAnsi="Times New Roman"/>
          <w:sz w:val="16"/>
          <w:szCs w:val="16"/>
          <w:color w:val="auto"/>
        </w:rPr>
        <w:t>. The holders of our Class A ordinary shares are entitled to such dividends as may be declared by our board of directors subject to the Companies Act.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 our shareholders may declare dividends by ordinary resolution, but no dividend shall exceed the amount recommended by our directors. Each Class B ordinary shares confers upon the holder no right to any share in any dividend or distribution paid by the Company.</w:t>
      </w:r>
    </w:p>
    <w:p>
      <w:pPr>
        <w:spacing w:after="0" w:line="153"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i w:val="1"/>
          <w:iCs w:val="1"/>
          <w:color w:val="auto"/>
        </w:rPr>
        <w:t>Voting Rights</w:t>
      </w:r>
      <w:r>
        <w:rPr>
          <w:rFonts w:ascii="Times New Roman" w:cs="Times New Roman" w:eastAsia="Times New Roman" w:hAnsi="Times New Roman"/>
          <w:sz w:val="16"/>
          <w:szCs w:val="16"/>
          <w:color w:val="auto"/>
        </w:rPr>
        <w:t>. Holders of Class A ordinary shares and Class B ordinary shares shall at all times vote together as one class on all resolutions submitted to a vote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 On a show of hands, each shareholder present in person or by proxy (or, for a corporation or other non-natural person, present by its duly authorized representative or proxy) at a general meeting shall have one vote and on a poll, shall have one vote for each Class A ordinary share registered in his name in the register of members of our company and one hundred (100) votes for each Class B ordinary share registered in his or her name in the Register, on any and all matters subject to a vote at such meeting. Voting at any meeting of shareholders is by show of hands unless a poll is (before or on the declaration of the result of the show of hands) demanded. A poll may be demanded by the chairman of the meeting or by any one or more shareholders together holding not less than ten percent of our paid-up voting share capital, present in person or by proxy.</w:t>
      </w:r>
    </w:p>
    <w:p>
      <w:pPr>
        <w:spacing w:after="0" w:line="163" w:lineRule="exact"/>
        <w:rPr>
          <w:sz w:val="20"/>
          <w:szCs w:val="20"/>
          <w:color w:val="auto"/>
        </w:rPr>
      </w:pPr>
    </w:p>
    <w:p>
      <w:pPr>
        <w:jc w:val="both"/>
        <w:ind w:right="20" w:firstLine="287"/>
        <w:spacing w:after="0" w:line="257" w:lineRule="auto"/>
        <w:rPr>
          <w:sz w:val="20"/>
          <w:szCs w:val="20"/>
          <w:color w:val="auto"/>
        </w:rPr>
      </w:pPr>
      <w:r>
        <w:rPr>
          <w:rFonts w:ascii="Times New Roman" w:cs="Times New Roman" w:eastAsia="Times New Roman" w:hAnsi="Times New Roman"/>
          <w:sz w:val="16"/>
          <w:szCs w:val="16"/>
          <w:color w:val="auto"/>
        </w:rPr>
        <w:t>A quorum required for a meeting of shareholders consists of shareholders holding in aggregate not less than one-third of all our issued voting share capital present in person or by proxy or, if a corporation or other non-natural person, by its duly authorized representative. We may, but are not obliged, to hold an annual general meeting of shareholders. General meetings may be convened by our board of directors on its own initiative or upon a request to the directors by shareholders holding in aggregate not less than one-third of our voting share capital as at the date of deposit of the requisition. Advance notice of at least 14 calendar days is required for the convening of our annual general meeting and other shareholders’ meetings.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 w:name="page24"/>
    <w:bookmarkEnd w:id="23"/>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An ordinary resolution to be passed by the shareholders requires the affirmative vote of a simple majority of the votes attaching to the ordinary shares cast in a general meeting or may be approved in writing by all of the shareholders entitled to vote at a general meeting, while a special resolution requires the affirmative vote of no less than two-thirds of the votes attaching to the ordinary shares cast in a general meeting or may be passed as a unanimous written resolution. A special resolution is required for important matters such as a change of name. Holders of the ordinary shares may effect certain changes by ordinary resolution, including consolidating and dividing all or any of our share capital into shares of a larger amount than our existing shares, and canceling any shares which have not been taken or agreed to be taken.</w:t>
      </w:r>
    </w:p>
    <w:p>
      <w:pPr>
        <w:spacing w:after="0" w:line="160"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Transfer of Shares</w:t>
      </w:r>
      <w:r>
        <w:rPr>
          <w:rFonts w:ascii="Times New Roman" w:cs="Times New Roman" w:eastAsia="Times New Roman" w:hAnsi="Times New Roman"/>
          <w:sz w:val="16"/>
          <w:szCs w:val="16"/>
          <w:color w:val="auto"/>
        </w:rPr>
        <w:t>. Subject to the restrictions of our articles of association, as applicable, any of our Class A ordinary shareholders may transfer all or any of his or 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ordinary shares by an instrument of transfer in the usual or common form or any other form approved by our board. No Class B ordinary share may be sold, transferred, assigned, pledged, or otherwise disposed of, or used as collateral for loans or any obligations.</w:t>
      </w:r>
    </w:p>
    <w:p>
      <w:pPr>
        <w:spacing w:after="0" w:line="153" w:lineRule="exact"/>
        <w:rPr>
          <w:sz w:val="20"/>
          <w:szCs w:val="20"/>
          <w:color w:val="auto"/>
        </w:rPr>
      </w:pPr>
    </w:p>
    <w:p>
      <w:pPr>
        <w:jc w:val="both"/>
        <w:ind w:right="20" w:firstLine="287"/>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Each Class B ordinary share is convertible into one Class A ordinary share, at the option of the holder, subject to approval by no less than two-thirds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board of directors or by written resolutions of all the directors. In no event shall Class A ordinary shares be convertible into Class B ordinary shares under any circumstances. Class B ordinary shares shall be automatically and immediately converted into an equal number of Class A ordinary shares under the following circumstances: (i) if the holder is an employee, upon the termination of their employment (howsoever arising) with the Company; (ii) if the holder is a Director, upon their resignation or removal from the board of directors; and (iii) if the holder is a wholly-owned company (“Owned Company”) of a director, senior Management, or an existing shareholder, upon the individual ceasing to wholly own the Owned Company.</w:t>
      </w:r>
    </w:p>
    <w:p>
      <w:pPr>
        <w:spacing w:after="0" w:line="161"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Liquidation. </w:t>
      </w:r>
      <w:r>
        <w:rPr>
          <w:rFonts w:ascii="Times New Roman" w:cs="Times New Roman" w:eastAsia="Times New Roman" w:hAnsi="Times New Roman"/>
          <w:sz w:val="16"/>
          <w:szCs w:val="16"/>
          <w:color w:val="auto"/>
        </w:rPr>
        <w:t>On a return of capital on winding up or otherwise (other than on conversion, redemption or purchase of shares), assets available for distribution among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of Class A ordinary shares may be distributed among the holders of the Class A ordinary shares as determined by the liquidator, subject to sanction of an ordinary resolution of our company. Each Class B ordinary share confers upon the holder no right to any share in the distribution of the surplus assets of the Company upon liquidation or otherwise,</w:t>
      </w:r>
    </w:p>
    <w:p>
      <w:pPr>
        <w:spacing w:after="0" w:line="159"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Calls on Shares and Forfeiture of Shares</w:t>
      </w:r>
      <w:r>
        <w:rPr>
          <w:rFonts w:ascii="Times New Roman" w:cs="Times New Roman" w:eastAsia="Times New Roman" w:hAnsi="Times New Roman"/>
          <w:sz w:val="16"/>
          <w:szCs w:val="16"/>
          <w:color w:val="auto"/>
        </w:rPr>
        <w:t>. Our board of directors may from time to time make calls upon shareholders for any amounts unpaid on their shares in a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to such shareholders at least 14 days prior to the specified time of payment. The shares that have been called upon and remain unpaid on the specified time are subject to forfeiture.</w:t>
      </w:r>
    </w:p>
    <w:p>
      <w:pPr>
        <w:spacing w:after="0" w:line="153"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i w:val="1"/>
          <w:iCs w:val="1"/>
          <w:color w:val="auto"/>
        </w:rPr>
        <w:t>Redemption, Repurchase and Surrender of Shares</w:t>
      </w:r>
      <w:r>
        <w:rPr>
          <w:rFonts w:ascii="Times New Roman" w:cs="Times New Roman" w:eastAsia="Times New Roman" w:hAnsi="Times New Roman"/>
          <w:sz w:val="16"/>
          <w:szCs w:val="16"/>
          <w:color w:val="auto"/>
        </w:rPr>
        <w:t>. Subject to the provisions of the Companies Act and our articles of association, we may issue shares on terms that they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subject to redemption, at our option or at the option of the holders, on such terms and in such manner as our board of directors may determine before the issue of such shares. We also may purchase our own shares (including any redeemable shares) in such manner and on such other terms as determined by the board of directors in their sole discretion and agreed with the relevant shareholder, in accordance with our articles of association. The manner of purchase specified in our articles of association, which cover purchases of shares listed on an internationally recognized stock exchange and shares not so listed, is in accordance with Section 37(2) of the Companies Act or any modification or reenactment thereof for the time being in force. In addition, our company may accept the surrender of any fully paid share for no consideration. Pursuant to the Companies Act, upon the repurchase, redemption or surrender of shares, the board of directors can determine whether or not to cancel those shares or hold them as treasury shares pending cancellation, transfer or sale. The company must obtain authorization to hold such shares as treasury shares either in accordance with the procedures set out in the company’s articles of association or (if there are none) by a board resolution before being repurchased, redeemed or surrendered in accordance with the usual rules and articles. The Company may, at its option, redeem all or any of the Class B ordinary shares held by any person at any time, at such price, and in such manner as may be determined by the board of directors, in accordance with our articles of association.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 w:name="page25"/>
    <w:bookmarkEnd w:id="24"/>
    <w:p>
      <w:pPr>
        <w:jc w:val="both"/>
        <w:ind w:firstLine="287"/>
        <w:spacing w:after="0" w:line="257" w:lineRule="auto"/>
        <w:rPr>
          <w:sz w:val="20"/>
          <w:szCs w:val="20"/>
          <w:color w:val="auto"/>
        </w:rPr>
      </w:pPr>
      <w:r>
        <w:rPr>
          <w:rFonts w:ascii="Times New Roman" w:cs="Times New Roman" w:eastAsia="Times New Roman" w:hAnsi="Times New Roman"/>
          <w:sz w:val="16"/>
          <w:szCs w:val="16"/>
          <w:i w:val="1"/>
          <w:iCs w:val="1"/>
          <w:color w:val="auto"/>
        </w:rPr>
        <w:t>Variations of Rights of Shares</w:t>
      </w:r>
      <w:r>
        <w:rPr>
          <w:rFonts w:ascii="Times New Roman" w:cs="Times New Roman" w:eastAsia="Times New Roman" w:hAnsi="Times New Roman"/>
          <w:sz w:val="16"/>
          <w:szCs w:val="16"/>
          <w:color w:val="auto"/>
        </w:rPr>
        <w:t>. If at any time the share capital is divided into different classes of shares, the rights attached to any class of shares (unless otherwise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the terms of issue of the shares of that class) may, subject to our articles of association, be varied or abrogated with the written consent of the holders of a majority of the issued shares of that class or with the sanction of a special resolution passed at a general meeting of the holders of the shares of that class. The rights conferred upon the holders of the shares of any class shall not, unless otherwise expressly provided by the terms of issue of the shares of that class, be deemed to be varied by the creation or issue of further shares ranking in priority to or pari passu therewith.</w:t>
      </w:r>
    </w:p>
    <w:p>
      <w:pPr>
        <w:spacing w:after="0" w:line="162"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i w:val="1"/>
          <w:iCs w:val="1"/>
          <w:color w:val="auto"/>
        </w:rPr>
        <w:t>Inspection of Books and Records</w:t>
      </w:r>
      <w:r>
        <w:rPr>
          <w:rFonts w:ascii="Times New Roman" w:cs="Times New Roman" w:eastAsia="Times New Roman" w:hAnsi="Times New Roman"/>
          <w:sz w:val="16"/>
          <w:szCs w:val="16"/>
          <w:color w:val="auto"/>
        </w:rPr>
        <w:t>. Holders of our ordinary shares have no general right under Cayman Islands law to inspect or obtain copies of our register of members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corporate records (other than our memorandum and articles of association, special resolutions, and our register of mortgages and charges). However, we make our annual reports, which contain our audited financial statements, available to our shareholders. See “Item 10. Additional Information—10.H. Documents on Display” in the 2025 Form 20-F.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6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Mergers and Similar Arrangements. </w:t>
      </w:r>
      <w:r>
        <w:rPr>
          <w:rFonts w:ascii="Times New Roman" w:cs="Times New Roman" w:eastAsia="Times New Roman" w:hAnsi="Times New Roman"/>
          <w:sz w:val="16"/>
          <w:szCs w:val="16"/>
          <w:color w:val="auto"/>
        </w:rPr>
        <w:t>The Companies Act permits mergers and consolidations between Cayman Islands companies and between Cayman Islands companies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6"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55"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144"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5" w:name="page26"/>
    <w:bookmarkEnd w:id="25"/>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class of shareholders, as the case may be; or (b) a majority in number representing 75% in value of creditors or each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5" w:lineRule="exact"/>
        <w:rPr>
          <w:sz w:val="20"/>
          <w:szCs w:val="20"/>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198"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a dissentient minority shareholder upon a tender offer. When a tender offer is made and accepted by holders of 90%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60"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Shareholders’ Suits. </w:t>
      </w:r>
      <w:r>
        <w:rPr>
          <w:rFonts w:ascii="Times New Roman" w:cs="Times New Roman" w:eastAsia="Times New Roman" w:hAnsi="Times New Roman"/>
          <w:sz w:val="16"/>
          <w:szCs w:val="16"/>
          <w:color w:val="auto"/>
        </w:rPr>
        <w:t>In principle, we will normally be the proper plaintiff and as a general rule a derivative action may not be brought by a minority shareholder. However,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61" w:lineRule="exact"/>
        <w:rPr>
          <w:sz w:val="20"/>
          <w:szCs w:val="20"/>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acts or proposes to act illegally or ultra vires;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a simple majority vote that has not been obtained;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who control the company are perpetrating a “fraud on the minority.”</w:t>
      </w:r>
    </w:p>
    <w:p>
      <w:pPr>
        <w:spacing w:after="0" w:line="196"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Indemnification of Directors and Executive Officers and Limitation of Liability. </w:t>
      </w:r>
      <w:r>
        <w:rPr>
          <w:rFonts w:ascii="Times New Roman" w:cs="Times New Roman" w:eastAsia="Times New Roman" w:hAnsi="Times New Roman"/>
          <w:sz w:val="16"/>
          <w:szCs w:val="16"/>
          <w:color w:val="auto"/>
        </w:rPr>
        <w:t>Cayman Islands law does not limit the extent to which a company’s memorandum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that we shall indemnify our directors and officers for the time being and from time to time, against all actions, proceedings, costs, charges, expenses, losses, damages or liabilities incurred or sustained by such persons, other than by reason of such person's willful neglect or default, in connection with the execution or discharge of his duties, powers, authorities or discretions as a director or officer of the Company, including without prejudice to the generality of the foregoing, any costs, expenses, losses or liabilities incurred by such director or officer in defending (whether successfully or otherwise) any civil proceedings concerning or in any way related to our company or its affairs in any court whether in the Cayman Islands or elsewhere. This standard of conduct is generally the same as permitted under the Delaware General Corporation Law for a Delaware corporation.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 w:name="page27"/>
    <w:bookmarkEnd w:id="26"/>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amended and restated memorandum and articles of association.</w:t>
      </w:r>
    </w:p>
    <w:p>
      <w:pPr>
        <w:spacing w:after="0" w:line="144" w:lineRule="exact"/>
        <w:rPr>
          <w:sz w:val="20"/>
          <w:szCs w:val="20"/>
          <w:color w:val="auto"/>
        </w:rPr>
      </w:pPr>
    </w:p>
    <w:p>
      <w:pPr>
        <w:jc w:val="both"/>
        <w:ind w:right="20" w:firstLine="287"/>
        <w:spacing w:after="0" w:line="315"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9" w:lineRule="exact"/>
        <w:rPr>
          <w:sz w:val="20"/>
          <w:szCs w:val="20"/>
          <w:color w:val="auto"/>
        </w:rPr>
      </w:pPr>
    </w:p>
    <w:p>
      <w:pPr>
        <w:jc w:val="both"/>
        <w:ind w:right="20" w:firstLine="287"/>
        <w:spacing w:after="0" w:line="253" w:lineRule="auto"/>
        <w:rPr>
          <w:sz w:val="20"/>
          <w:szCs w:val="20"/>
          <w:color w:val="auto"/>
        </w:rPr>
      </w:pPr>
      <w:r>
        <w:rPr>
          <w:rFonts w:ascii="Times New Roman" w:cs="Times New Roman" w:eastAsia="Times New Roman" w:hAnsi="Times New Roman"/>
          <w:sz w:val="16"/>
          <w:szCs w:val="16"/>
          <w:i w:val="1"/>
          <w:iCs w:val="1"/>
          <w:color w:val="auto"/>
        </w:rPr>
        <w:t xml:space="preserve">Directors’ Fiduciary Duties. </w:t>
      </w:r>
      <w:r>
        <w:rPr>
          <w:rFonts w:ascii="Times New Roman" w:cs="Times New Roman" w:eastAsia="Times New Roman" w:hAnsi="Times New Roman"/>
          <w:sz w:val="16"/>
          <w:szCs w:val="16"/>
          <w:color w:val="auto"/>
        </w:rPr>
        <w:t>Under Delaware corporate law, a director of a Delaware corporation has a fiduciary duty to the corporation and its shareholders. This duty has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8"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65"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Shareholder Action by Written Consent. </w:t>
      </w:r>
      <w:r>
        <w:rPr>
          <w:rFonts w:ascii="Times New Roman" w:cs="Times New Roman" w:eastAsia="Times New Roman" w:hAnsi="Times New Roman"/>
          <w:sz w:val="16"/>
          <w:szCs w:val="16"/>
          <w:color w:val="auto"/>
        </w:rPr>
        <w:t>Under the Delaware General Corporation Law, a corporation may eliminate the right of shareholders to act by written consent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amendment to its certificate of incorporation. Cayman Islands law and our amended and restated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59"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Shareholder Proposals. </w:t>
      </w: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 w:name="page28"/>
    <w:bookmarkEnd w:id="27"/>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allow our shareholders holding, at the date of deposit of the requisition, not less than one-third of the share capital of the Company which as at that date carry the right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amended and restated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65" w:lineRule="exact"/>
        <w:rPr>
          <w:sz w:val="20"/>
          <w:szCs w:val="20"/>
          <w:color w:val="auto"/>
        </w:rPr>
      </w:pPr>
    </w:p>
    <w:p>
      <w:pPr>
        <w:jc w:val="both"/>
        <w:ind w:right="20" w:firstLine="287"/>
        <w:spacing w:after="0" w:line="279" w:lineRule="auto"/>
        <w:rPr>
          <w:sz w:val="20"/>
          <w:szCs w:val="20"/>
          <w:color w:val="auto"/>
        </w:rPr>
      </w:pPr>
      <w:r>
        <w:rPr>
          <w:rFonts w:ascii="Times New Roman" w:cs="Times New Roman" w:eastAsia="Times New Roman" w:hAnsi="Times New Roman"/>
          <w:sz w:val="15"/>
          <w:szCs w:val="15"/>
          <w:i w:val="1"/>
          <w:iCs w:val="1"/>
          <w:color w:val="auto"/>
        </w:rPr>
        <w:t xml:space="preserve">Cumulative Voting. </w:t>
      </w:r>
      <w:r>
        <w:rPr>
          <w:rFonts w:ascii="Times New Roman" w:cs="Times New Roman" w:eastAsia="Times New Roman" w:hAnsi="Times New Roman"/>
          <w:sz w:val="15"/>
          <w:szCs w:val="15"/>
          <w:color w:val="auto"/>
        </w:rPr>
        <w:t>Under the Delaware General Corporation Law, cumulative voting for elections of directors is not permitted unless the corporation’s certificate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amended and restated memorandum and articles of association do not provide for cumulative voting. As a result, our shareholders are not afforded any less protections or rights on this issue than shareholders of a Delaware corporation.</w:t>
      </w:r>
    </w:p>
    <w:p>
      <w:pPr>
        <w:spacing w:after="0" w:line="14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Under the Delaware General Corporation Law, a director of a corporation with a classified board may be removed only for cause with the approval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 majority of the outstanding shares entitled to vote, unless the certificate of incorporation provides otherwise. Under our amended and restated memorandum and articles of association, subject to certain restrictions as contained therein, directors may be removed by a special resolution of our shareholders. In addition, a director’s office shall be vacated if the director (i) becomes bankrupt or makes any arrangement or composition with his creditors; (ii) is found to be or becomes of unsound mind; (iii) resigns his office by notice in writing to the company; (iv) without special leave of absence from our board of directors, is absent from meetings of our board of directors for six consecutive months and our board of directors resolves that his office be vacated; or (v) is removed from office pursuant to any other provisions of our amended and restated memorandum and articles of association or the Companies Act.</w:t>
      </w:r>
    </w:p>
    <w:p>
      <w:pPr>
        <w:spacing w:after="0" w:line="161"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Transactions with Interested Shareholders. </w:t>
      </w:r>
      <w:r>
        <w:rPr>
          <w:rFonts w:ascii="Times New Roman" w:cs="Times New Roman" w:eastAsia="Times New Roman" w:hAnsi="Times New Roman"/>
          <w:sz w:val="16"/>
          <w:szCs w:val="16"/>
          <w:color w:val="auto"/>
        </w:rPr>
        <w:t>The Delaware General Corporation Law contains a business combination statute applicable to Delaware corporations whereby,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Restructuring. </w:t>
      </w:r>
      <w:r>
        <w:rPr>
          <w:rFonts w:ascii="Times New Roman" w:cs="Times New Roman" w:eastAsia="Times New Roman" w:hAnsi="Times New Roman"/>
          <w:sz w:val="16"/>
          <w:szCs w:val="16"/>
          <w:color w:val="auto"/>
        </w:rPr>
        <w:t>A company may present a petition to the Grand Court of the Cayman Islands for the appointment of a restructuring officer on the grounds that the company:</w:t>
      </w:r>
    </w:p>
    <w:p>
      <w:pPr>
        <w:spacing w:after="0" w:line="200" w:lineRule="exact"/>
        <w:rPr>
          <w:sz w:val="20"/>
          <w:szCs w:val="20"/>
          <w:color w:val="auto"/>
        </w:rPr>
      </w:pPr>
    </w:p>
    <w:p>
      <w:pPr>
        <w:ind w:left="500" w:hanging="218"/>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is likely to become unable to pay its debts; and</w:t>
      </w:r>
    </w:p>
    <w:p>
      <w:pPr>
        <w:spacing w:after="0" w:line="198" w:lineRule="exact"/>
        <w:rPr>
          <w:rFonts w:ascii="Times New Roman" w:cs="Times New Roman" w:eastAsia="Times New Roman" w:hAnsi="Times New Roman"/>
          <w:sz w:val="16"/>
          <w:szCs w:val="16"/>
          <w:color w:val="auto"/>
        </w:rPr>
      </w:pPr>
    </w:p>
    <w:p>
      <w:pPr>
        <w:ind w:right="20" w:firstLine="282"/>
        <w:spacing w:after="0" w:line="280" w:lineRule="auto"/>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w:t>
      </w:r>
    </w:p>
    <w:p>
      <w:pPr>
        <w:spacing w:after="0" w:line="144" w:lineRule="exact"/>
        <w:rPr>
          <w:sz w:val="20"/>
          <w:szCs w:val="20"/>
          <w:color w:val="auto"/>
        </w:rPr>
      </w:pPr>
    </w:p>
    <w:p>
      <w:pPr>
        <w:jc w:val="both"/>
        <w:ind w:right="20" w:firstLine="287"/>
        <w:spacing w:after="0" w:line="254" w:lineRule="auto"/>
        <w:rPr>
          <w:sz w:val="20"/>
          <w:szCs w:val="20"/>
          <w:color w:val="auto"/>
        </w:rPr>
      </w:pPr>
      <w:r>
        <w:rPr>
          <w:rFonts w:ascii="Times New Roman" w:cs="Times New Roman" w:eastAsia="Times New Roman" w:hAnsi="Times New Roman"/>
          <w:sz w:val="16"/>
          <w:szCs w:val="16"/>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right="20" w:firstLine="287"/>
        <w:spacing w:after="0" w:line="261" w:lineRule="auto"/>
        <w:rPr>
          <w:sz w:val="20"/>
          <w:szCs w:val="20"/>
          <w:color w:val="auto"/>
        </w:rPr>
      </w:pPr>
      <w:r>
        <w:rPr>
          <w:rFonts w:ascii="Times New Roman" w:cs="Times New Roman" w:eastAsia="Times New Roman" w:hAnsi="Times New Roman"/>
          <w:sz w:val="16"/>
          <w:szCs w:val="16"/>
          <w:i w:val="1"/>
          <w:iCs w:val="1"/>
          <w:color w:val="auto"/>
        </w:rPr>
        <w:t>Dissolution; Winding up</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Under the Delaware General Corporation Law, unless the board of directors approves the proposal to dissolve, dissolution must be approved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6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memorandum and articles of association, our company may be dissolved, liquidated or wound up by a special resolution of our shareholders.</w:t>
      </w:r>
    </w:p>
    <w:p>
      <w:pPr>
        <w:spacing w:after="0" w:line="160"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Variation of Rights of Shares. </w:t>
      </w: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outstanding shares of such class, unless the certificate of incorporation provides otherwise. Under our amended and restated memorandum and articles of association, if our share capital is divided into different classes of shares, the rights attached to any such class of shares (unless otherwise provided by the terms of issue of the shares of that class) may, subject to our amended and restated memorandum and articles of association, be varied or abrogated with the consent in writing of the holders of a majority of the issued shares of that class or with the sanction of a special resolution passed at a general meeting of the holders of the shares of that class. The rights conferred upon the holders of the shares of any class shall not, unless otherwise expressly provided by the terms of issue of the shares of that class, be deemed to be varied by the creation or issue of further shares ranking in priority to or pari passu therewith.</w:t>
      </w:r>
    </w:p>
    <w:p>
      <w:pPr>
        <w:spacing w:after="0" w:line="161"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Amendment of Governing Documents. </w:t>
      </w:r>
      <w:r>
        <w:rPr>
          <w:rFonts w:ascii="Times New Roman" w:cs="Times New Roman" w:eastAsia="Times New Roman" w:hAnsi="Times New Roman"/>
          <w:sz w:val="16"/>
          <w:szCs w:val="16"/>
          <w:color w:val="auto"/>
        </w:rPr>
        <w:t>Under the Delaware General Corporation Law, a corporation’s governing documents may be amended with the approval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the outstanding shares entitled to vote, unless the certificate of incorporation provides otherwise. Under Cayman Islands law, our amended and restated memorandum and articles of association may only be amended with a special resolution of our shareholders.</w:t>
      </w:r>
    </w:p>
    <w:p>
      <w:pPr>
        <w:spacing w:after="0" w:line="153"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i w:val="1"/>
          <w:iCs w:val="1"/>
          <w:color w:val="auto"/>
        </w:rPr>
        <w:t xml:space="preserve">Rights of Non-resident or Foreign Shareholders. </w:t>
      </w:r>
      <w:r>
        <w:rPr>
          <w:rFonts w:ascii="Times New Roman" w:cs="Times New Roman" w:eastAsia="Times New Roman" w:hAnsi="Times New Roman"/>
          <w:sz w:val="16"/>
          <w:szCs w:val="16"/>
          <w:color w:val="auto"/>
        </w:rPr>
        <w:t>There are no limitations imposed by our amended and restated memorandum and articles of association on the rights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History of Securities Issuances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our securities issuances in the past three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Ordinary Shares and Warrants</w:t>
      </w:r>
    </w:p>
    <w:p>
      <w:pPr>
        <w:spacing w:after="0" w:line="202"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On December 30, 2024, we entered into a share subscription agreement with each of Maase Inc. and Infinew Limited, pursuant to which we issued 1,275,000 Class B ordinary shares (as adjusted for the 400-for-1 Share Consolidation effective on May 21, 2025) to Maase Inc. and 1,225,000 Class B ordinary shares to Infinew Limited, at a price of US$0.4 per Class B ordinary share, for a total consideration of US$510,000 and US$490,000, respectively. The share issuance was completed on January 2, 2025. Each of Maase Inc. and Infinew Limited subsequently converted all of their respective Class B ordinary shares to Class A ordinary shares on a one-for-one basis.</w:t>
      </w:r>
    </w:p>
    <w:p>
      <w:pPr>
        <w:spacing w:after="0" w:line="162"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On July 7, 2025, we entered into a definitive share purchase agreement for a private placement and warrant offering with certain investors, pursuant to which, we agreed to issue and sell to the investors, (i) an aggregate of 10,000,000 Class A ordinary shares, par value US$0.4 per share, at a price of $3.156 per share (the “Share Issuance”), and (ii) a warrant to purchase up to 20,000,000 additional Class A ordinary shares. 50% of the warrant will be exercisable at US$6.312, with the remaining 50% exercisable at US$7.890. The Share Issuance was completed on July 23, 2025. The warrants shall be exercisable on October 23, 2025 and will expire on October 23, 2030.</w:t>
      </w:r>
    </w:p>
    <w:p>
      <w:pPr>
        <w:spacing w:after="0" w:line="162"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On November 7, 2025, we entered into a share subscription agreement with Expansion Group Ltd, pursuant to which we agreed to issue to Expansion Group Ltd 5,000,000 Class B ordinary shares, at a price of US$0.4 per share, for a total consideration of US$2,000,000 (the “Class B Share Issuance”). The Class B Share Issuance was completed on December 22, 2025.</w:t>
      </w:r>
    </w:p>
    <w:p>
      <w:pPr>
        <w:spacing w:after="0" w:line="15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On December 12, 2025, we entered into a transaction agreement with Nova Lumina Limited (“Nova”), and its existing shareholders, YS Management Company Limited (“YSM”) and Ethereal Group Ltd (“Ethereal”) (collectively the “Sellers”) to acquire 100% of the equity interest of Nova from the Sellers. The total consideration consists of 102,578,839 of our Class A ordinary shares (the “Consideration Shares”) and a cash payment of US$22.0 million, based on a purchase price of US$1.0 per share of our Class A ordinary shares (the “Transaction”). 96,526,648 Class A ordinary shares and 6,052,191 Class A ordinary shares were issued to YSM and Ethereal, respectively, with an additional cash payment of US$22.0 million payable to Ethereal within 365 days after the closing of the Transaction. The Consideration Shares issued to YSM are subject to a lock-up period of five years from the closing date. The Transaction was completed on January 9, 2026.</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Share Award Grants</w:t>
      </w:r>
    </w:p>
    <w:p>
      <w:pPr>
        <w:spacing w:after="0" w:line="20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We have granted share awards to certain of our employees, directors and consultants. See “Item 6. Directors, Senior Management and Employees—6.B. Compensation— Share Incentives” in the 2025 Form 20-F.</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2"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PREFERRED SHARES</w:t>
      </w:r>
    </w:p>
    <w:p>
      <w:pPr>
        <w:spacing w:after="0" w:line="200" w:lineRule="exact"/>
        <w:rPr>
          <w:sz w:val="20"/>
          <w:szCs w:val="20"/>
          <w:color w:val="auto"/>
        </w:rPr>
      </w:pPr>
    </w:p>
    <w:p>
      <w:pPr>
        <w:ind w:right="20" w:firstLine="284"/>
        <w:spacing w:after="0" w:line="280" w:lineRule="auto"/>
        <w:rPr>
          <w:sz w:val="20"/>
          <w:szCs w:val="20"/>
          <w:color w:val="auto"/>
        </w:rPr>
      </w:pPr>
      <w:r>
        <w:rPr>
          <w:rFonts w:ascii="Times New Roman" w:cs="Times New Roman" w:eastAsia="Times New Roman" w:hAnsi="Times New Roman"/>
          <w:sz w:val="16"/>
          <w:szCs w:val="16"/>
          <w:color w:val="auto"/>
        </w:rPr>
        <w:t>The particular terms of each issue or series of preferred shares will be described in the applicable prospectus supplement. This description will include, where applicable, a description of:</w:t>
      </w:r>
    </w:p>
    <w:p>
      <w:pPr>
        <w:spacing w:after="0" w:line="144" w:lineRule="exact"/>
        <w:rPr>
          <w:sz w:val="20"/>
          <w:szCs w:val="20"/>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and nominal value of the preferred shares;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preferred shares we are offering;</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liquidation preference per preferred share, if any;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issue price per preferred share (or if applicable, the calculation formula of the issue price per preferred share);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preferential subscription rights will be issued to existing shareholders;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rate per preferred share, dividend period and payment dates and method of calculation for dividends;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will be cumulative or non-cumulative and, if cumulative, the date from which dividends will accumulate;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right, if any, to defer payment of dividends and the maximum length of any such deferral period;</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relative ranking and preferences of the preferred shares as to dividend rights (preferred dividend if any) and rights if we liquidate, dissolve or wind up our company;</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for any auction and remarketing, if any;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for redemption or repurchase, if applicable, and any restrictions on our ability to exercise those redemption and repurchase rights;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listing of the preferred shares on any securities exchange or market;</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65"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will be convertible into our Class A ordinary shares or preferred shares of another category, and, if applicable, conditions of an automatic conversion into Class A ordinary shares, if any, the conversion period, the conversion price, or how such price will be calculated, and under what circumstances it may be adjusted;</w:t>
      </w:r>
    </w:p>
    <w:p>
      <w:pPr>
        <w:spacing w:after="0" w:line="155"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rights, if any, of the preferred shares;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preemption rights, if any;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restrictions on transfer, sale or assignment, if any;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any material or special Cayman Islands or United States federal income tax considerations applicable to the preferred shares;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limitations on issuances of any class or series of preferred shares ranking senior to or on a parity with the series of preferred shares being issued as to dividend rights and rights if we liquidate, dissolve or wind up our affairs;</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rights attached to the preferred shares regarding the corporate governance of our company, which may include, for example representation rights to the board of directors; and</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specific terms, rights, preferences, privileges, qualifications or restrictions of the preferred shares.</w:t>
      </w:r>
    </w:p>
    <w:p>
      <w:pPr>
        <w:spacing w:after="0" w:line="198"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Our board of directors may cause us to issue from time to time, out of our authorized share capital (other than the authorized but unissued ordinary shares), series of preferred shares in their absolute discretion, subject to a re-classification of our authorized share capital to be approved by the shareholders and provided that before any preferred shares of any such series are issued, our board of directors shall by resolution of directors determine, with respect to any series of preferred shares, the terms and rights of that series.</w:t>
      </w:r>
    </w:p>
    <w:p>
      <w:pPr>
        <w:spacing w:after="0" w:line="16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When we issue preferred shares under this prospectus and the applicable prospectus supplement, the shares will be fully paid and non-assessable and will not have, or be subject to, any preemptive or similar rights.</w:t>
      </w:r>
    </w:p>
    <w:p>
      <w:pPr>
        <w:spacing w:after="0" w:line="144"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The issuance of preferred shares could adversely affect the voting power of holders of ordinary shares and reduce the likelihood that holders of ordinary shares will receive dividend payments and payments upon liquidation. The issuance could have the effect of decreasing the market price of our Class A ordinary shares. The issuance of preferred shares also could have the effect of delaying, deterring or preventing a change in control of our company.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WARRANTS</w:t>
      </w:r>
    </w:p>
    <w:p>
      <w:pPr>
        <w:spacing w:after="0" w:line="200"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may issue warrants to purchase Class A ordinary shares. Warrants may be issued independently or together with any other securities and may be attached to, or separate from, such securities. Each series of warrants will be issued under a separate warrant agreement to be entered into between us and a warrant agent. The warrant agent will act solely as our agent and will not assume any obligation or relationship of agency for or with holders or beneficial owners of warrants. The terms of any warrants to be issued and a description of the material provisions of the applicable warrant agreement will be set forth in the applicable prospectus supplement.</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applicable prospectus supplement will describe the following terms of any warrants in respect of which this prospectus is being delivered:</w:t>
      </w:r>
    </w:p>
    <w:p>
      <w:pPr>
        <w:spacing w:after="0" w:line="198" w:lineRule="exact"/>
        <w:rPr>
          <w:sz w:val="20"/>
          <w:szCs w:val="20"/>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such warrants;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number of such warrants;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price or prices at which such warrants will be issued and exercised;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or currencies in which the price of such warrants will be payable;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purchasable upon exercise of such warrants;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such warrants shall commence and the date on which such right shall expire;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minimum or maximum amount of such warrants which may be exercised at any one time;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designation and terms of the securities with which such warrants are issued and the number of such warrants issued with each such security;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date on and after which such warrants and the related securities will be separately transferable;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with respect to book-entry procedures, if any;</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Cayman Islands or United States federal income tax consequences;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antidilution provisions of the warrants, if any;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such warrants, including terms, procedures and limitations relating to the exchange and exercise of such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Amendments and Supplements to Warrant Agreement</w:t>
      </w:r>
    </w:p>
    <w:p>
      <w:pPr>
        <w:spacing w:after="0" w:line="200" w:lineRule="exact"/>
        <w:rPr>
          <w:sz w:val="20"/>
          <w:szCs w:val="20"/>
          <w:color w:val="auto"/>
        </w:rPr>
      </w:pPr>
    </w:p>
    <w:p>
      <w:pPr>
        <w:ind w:right="20" w:firstLine="287"/>
        <w:spacing w:after="0" w:line="280" w:lineRule="auto"/>
        <w:rPr>
          <w:sz w:val="20"/>
          <w:szCs w:val="20"/>
          <w:color w:val="auto"/>
        </w:rPr>
      </w:pPr>
      <w:r>
        <w:rPr>
          <w:rFonts w:ascii="Times New Roman" w:cs="Times New Roman" w:eastAsia="Times New Roman" w:hAnsi="Times New Roman"/>
          <w:sz w:val="16"/>
          <w:szCs w:val="16"/>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SUBSCRIPTION RIGHTS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200"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We may issue subscription rights to purchase Class A ordinary shares. Subscription rights may be issued independently or together with any other offered security and may or may not be transferable by the person purchasing or receiving the subscription rights. In connection with any subscription rights offering to our shareholders, we may enter into a standby underwriting arrangement with one or more underwriters pursuant to which such underwriters will purchase any offered securities remaining unsubscribed for after such subscription rights offering. In connection with a subscription rights offering to our shareholders, we will distribute certificates evidencing the subscription rights and a prospectus supplement to our shareholders on the record date that we set for receiving subscription rights in such subscription rights offering.</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applicable prospectus supplement will describe the following terms of subscription rights in respect of which this prospectus is being delivered:</w:t>
      </w:r>
    </w:p>
    <w:p>
      <w:pPr>
        <w:spacing w:after="0" w:line="198" w:lineRule="exact"/>
        <w:rPr>
          <w:sz w:val="20"/>
          <w:szCs w:val="20"/>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 of such subscription rights;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securities for which such subscription rights are exercisable;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for such subscription rights;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such subscription rights issued to each shareholder;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such subscription rights are transferable;</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Cayman Islands or United States federal income tax considerations applicable to the issuance or exercise of such subscription rights;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right to exercise such subscription rights shall commence, and the date on which such rights shall expire (subject to any extension);</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extent to which such subscription rights include an over-subscription privilege with respect to unsubscribed securities;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the material terms of any standby underwriting or other purchase arrangement that we may enter into in connection with the subscription rights offering; and</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terms of such subscription rights, including terms, procedures and limitations relating to the exchange and exercise of such subscription rights.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Exercise of Subscription Rights</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Each subscription right will entitle the holder of the subscription right to purchase for cash such amount of securities at such exercise price as shall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w:t>
      </w:r>
    </w:p>
    <w:p>
      <w:pPr>
        <w:spacing w:after="0" w:line="162"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Class A ordinary shares purchasable upon such exercise. We may determine to offer any unsubscribed offered securities directly to persons other than shareholders, to or through agents, underwriters or dealers or through a combination of such methods, including pursuant to standby underwriting arrangements, as set forth in the applicable prospectus supplement.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UNITS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following summary of certain provisions of the units does not purport to be complete and is subject to, and qualified in its entirety by reference to, the provisions of the certificate evidencing the units that will be filed with the SEC in connection with the offering of such units.</w:t>
      </w:r>
    </w:p>
    <w:p>
      <w:pPr>
        <w:spacing w:after="0" w:line="144"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applicable prospectus supplement will describe:</w:t>
      </w:r>
    </w:p>
    <w:p>
      <w:pPr>
        <w:spacing w:after="0" w:line="198" w:lineRule="exact"/>
        <w:rPr>
          <w:sz w:val="20"/>
          <w:szCs w:val="20"/>
          <w:color w:val="auto"/>
        </w:rPr>
      </w:pPr>
    </w:p>
    <w:p>
      <w:pPr>
        <w:ind w:left="560" w:hanging="278"/>
        <w:spacing w:after="0" w:line="280" w:lineRule="auto"/>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and terms of the units and of the securities comprising the units, including whether and under what circumstances those securities may be held or transferred separately;</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unit agreement under which the units will be issued;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provisions for the issuance, payment, settlement, transfer or exchange of the units or of the securities comprising the units;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units will be issued in fully registered or global form.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ENFORCEABILITY OF CIVIL LIABILITIES</w:t>
      </w:r>
    </w:p>
    <w:p>
      <w:pPr>
        <w:spacing w:after="0" w:line="200"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62"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All of our operations are conducted in China, and most of our assets are located in China. In addition, all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United States courts judgments obtained in United States courts based on the civil liability provisions of the United States federal securities laws against us and our officers and directors.</w:t>
      </w:r>
    </w:p>
    <w:p>
      <w:pPr>
        <w:spacing w:after="0" w:line="162"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We have appointed [Cogency Global Inc.] as our agent to receive service of process with respect to any action brought against us in the U.S. District Court for the Southern District of New York under the federal securities laws of the U.S. or of any state in the U.S. or any action brought against us in the Supreme Court of the State of New York in the County of New York under the securities laws of the State of New York.</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Maples and Calder (Hong Kong) LLP, our counsel as to Cayman Islands law, has advised us that the courts of the Cayman Islands are unlikely to:</w:t>
      </w:r>
    </w:p>
    <w:p>
      <w:pPr>
        <w:spacing w:after="0" w:line="198" w:lineRule="exact"/>
        <w:rPr>
          <w:sz w:val="20"/>
          <w:szCs w:val="20"/>
          <w:color w:val="auto"/>
        </w:rPr>
      </w:pPr>
    </w:p>
    <w:p>
      <w:pPr>
        <w:ind w:left="560" w:right="20" w:hanging="278"/>
        <w:spacing w:after="0" w:line="280"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original actions brought in the jurisdiction of the Cayman Islands, impose liabilities against us or our directors or officers predicated upon the securities laws of the United States or any state in the United States, so far as the liabilities imposed by those provisions are penal in nature.</w:t>
      </w:r>
    </w:p>
    <w:p>
      <w:pPr>
        <w:spacing w:after="0" w:line="144"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Maples and Calder (Hong Kong) LLP has informed us that in those circumstances, although there is no statutory enforcement in the Cayman Islands of judgments obtained in the federal or state courts of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such judgment (a) is given by a foreign court of competent jurisdiction, (b) imposes on the judgment debtor a liability to pay a liquidated sum for which the judgment has been given, (c) is final and conclusive, (d) is not in respect of taxes, a fine or a penalty, and (e) is not inconsistent with a Cayman Islands judgment in respect of the same manner, impeachable on the grounds of fraud and is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United States.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66"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Hai Run Law Firm, our PRC legal adviser, has advised us that the recognition and enforcement of foreign judgments are provided for under the PRC Civil Procedure Law. PRC courts may recognize and enforce foreign judgments in accordance with the requirements of the PRC Civil Procedure Law based either on treaties between China and the country where the judgment is made or on principles of reciprocity between jurisdictions. Hai Run Law Firm has advised us further that under PRC law, courts in the PRC will not recognize or enforce a foreign judgment against us or our directors and officers if they decide that the judgment violates the basic principles of PRC law or national sovereignty, security or social public interest. As there exists no treaty or other form of reciprocity between China and the United States governing the recognition and enforcement of judgments as of the date of this prospectus, including those predicated upon the liability provisions of the United States federal securities laws, there is uncertainty whether and on what basis a PRC court would enforce judgments rendered by United States courts. In addition, because there is no treaty or other form of reciprocity between the Cayman Islands and China governing the recognition and enforcement of judgments as of the date of this prospectus, there is further uncertainty as to whether and on what basis a PRC court would enforce judgments rendered by a Cayman Islands court.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200" w:lineRule="exact"/>
        <w:rPr>
          <w:sz w:val="20"/>
          <w:szCs w:val="20"/>
          <w:color w:val="auto"/>
        </w:rPr>
      </w:pPr>
    </w:p>
    <w:p>
      <w:pPr>
        <w:ind w:firstLine="287"/>
        <w:spacing w:after="0" w:line="280" w:lineRule="auto"/>
        <w:rPr>
          <w:sz w:val="20"/>
          <w:szCs w:val="20"/>
          <w:color w:val="auto"/>
        </w:rPr>
      </w:pPr>
      <w:r>
        <w:rPr>
          <w:rFonts w:ascii="Times New Roman" w:cs="Times New Roman" w:eastAsia="Times New Roman" w:hAnsi="Times New Roman"/>
          <w:sz w:val="16"/>
          <w:szCs w:val="16"/>
          <w:color w:val="auto"/>
        </w:rPr>
        <w:t>Certain income tax considerations relating to the purchase, ownership and disposition of any of the securities offered by this prospectus will be set forth in the applicable prospectus supplement relating to the offering of those securities.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5" w:name="page36"/>
    <w:bookmarkEnd w:id="35"/>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SELLING SHAREHOLDERS</w:t>
      </w:r>
    </w:p>
    <w:p>
      <w:pPr>
        <w:spacing w:after="0" w:line="200" w:lineRule="exact"/>
        <w:rPr>
          <w:sz w:val="20"/>
          <w:szCs w:val="20"/>
          <w:color w:val="auto"/>
        </w:rPr>
      </w:pPr>
    </w:p>
    <w:p>
      <w:pPr>
        <w:jc w:val="both"/>
        <w:ind w:left="4" w:right="20" w:firstLine="287"/>
        <w:spacing w:after="0" w:line="280" w:lineRule="auto"/>
        <w:rPr>
          <w:sz w:val="20"/>
          <w:szCs w:val="20"/>
          <w:color w:val="auto"/>
        </w:rPr>
      </w:pPr>
      <w:r>
        <w:rPr>
          <w:rFonts w:ascii="Times New Roman" w:cs="Times New Roman" w:eastAsia="Times New Roman" w:hAnsi="Times New Roman"/>
          <w:sz w:val="16"/>
          <w:szCs w:val="16"/>
          <w:color w:val="auto"/>
        </w:rPr>
        <w:t>This prospectus covers the proposed sale from time to time by the selling shareholders identified in the table herein and/or their affiliates of up to an aggregate of 103,747,628 Class A ordinary shares held by the selling shareholders.</w:t>
      </w:r>
    </w:p>
    <w:p>
      <w:pPr>
        <w:spacing w:after="0" w:line="144" w:lineRule="exact"/>
        <w:rPr>
          <w:sz w:val="20"/>
          <w:szCs w:val="20"/>
          <w:color w:val="auto"/>
        </w:rPr>
      </w:pPr>
    </w:p>
    <w:p>
      <w:pPr>
        <w:jc w:val="both"/>
        <w:ind w:left="4" w:firstLine="287"/>
        <w:spacing w:after="0" w:line="259" w:lineRule="auto"/>
        <w:rPr>
          <w:sz w:val="20"/>
          <w:szCs w:val="20"/>
          <w:color w:val="auto"/>
        </w:rPr>
      </w:pPr>
      <w:r>
        <w:rPr>
          <w:rFonts w:ascii="Times New Roman" w:cs="Times New Roman" w:eastAsia="Times New Roman" w:hAnsi="Times New Roman"/>
          <w:sz w:val="16"/>
          <w:szCs w:val="16"/>
          <w:color w:val="auto"/>
        </w:rPr>
        <w:t>We have no assurance that the selling shareholders will sell any of the securities registered for sale hereunder. The selling shareholders may sell such securities to or through underwriters, dealers or agents or directly to purchasers or otherwise. See “Plan of Distribution.” The selling shareholders may also sell, transfer or otherwise dispose of some or all such securities in transactions exempt from the registration requirements of the Securities Act. Accordingly, we cannot estimate the number of Class A ordinary shares that the selling shareholders will sell under this prospectus.</w:t>
      </w:r>
    </w:p>
    <w:p>
      <w:pPr>
        <w:spacing w:after="0" w:line="162" w:lineRule="exact"/>
        <w:rPr>
          <w:sz w:val="20"/>
          <w:szCs w:val="20"/>
          <w:color w:val="auto"/>
        </w:rPr>
      </w:pPr>
    </w:p>
    <w:p>
      <w:pPr>
        <w:jc w:val="both"/>
        <w:ind w:left="4" w:right="20" w:firstLine="287"/>
        <w:spacing w:after="0" w:line="280" w:lineRule="auto"/>
        <w:rPr>
          <w:sz w:val="20"/>
          <w:szCs w:val="20"/>
          <w:color w:val="auto"/>
        </w:rPr>
      </w:pPr>
      <w:r>
        <w:rPr>
          <w:rFonts w:ascii="Times New Roman" w:cs="Times New Roman" w:eastAsia="Times New Roman" w:hAnsi="Times New Roman"/>
          <w:sz w:val="16"/>
          <w:szCs w:val="16"/>
          <w:color w:val="auto"/>
        </w:rPr>
        <w:t>The table below provides information about the ownership of the selling shareholders of our shares and the maximum number of Class A ordinary shares that may be offered from time to time by the selling shareholders hereunder. The selling shareholders may sell less than all of the shares listed in the table below.</w:t>
      </w:r>
    </w:p>
    <w:p>
      <w:pPr>
        <w:spacing w:after="0" w:line="144" w:lineRule="exact"/>
        <w:rPr>
          <w:sz w:val="20"/>
          <w:szCs w:val="20"/>
          <w:color w:val="auto"/>
        </w:rPr>
      </w:pPr>
    </w:p>
    <w:p>
      <w:pPr>
        <w:jc w:val="both"/>
        <w:ind w:left="4" w:right="20" w:firstLine="287"/>
        <w:spacing w:after="0" w:line="265" w:lineRule="auto"/>
        <w:rPr>
          <w:sz w:val="20"/>
          <w:szCs w:val="20"/>
          <w:color w:val="auto"/>
        </w:rPr>
      </w:pPr>
      <w:r>
        <w:rPr>
          <w:rFonts w:ascii="Times New Roman" w:cs="Times New Roman" w:eastAsia="Times New Roman" w:hAnsi="Times New Roman"/>
          <w:sz w:val="16"/>
          <w:szCs w:val="16"/>
          <w:color w:val="auto"/>
        </w:rPr>
        <w:t>The information in the following table and the related notes is based on information filed with the SEC or supplied to us by the selling shareholders. We have not sought to verify such information. Information about the selling shareholders may change over time. Any changed or new information given to us by the selling shareholders will be set forth in supplements to this prospectus, the accompanying prospectus or amendments to the registration statement, if and when necessary.</w:t>
      </w:r>
    </w:p>
    <w:p>
      <w:pPr>
        <w:spacing w:after="0" w:line="155" w:lineRule="exact"/>
        <w:rPr>
          <w:sz w:val="20"/>
          <w:szCs w:val="20"/>
          <w:color w:val="auto"/>
        </w:rPr>
      </w:pPr>
    </w:p>
    <w:p>
      <w:pPr>
        <w:jc w:val="both"/>
        <w:ind w:left="4" w:firstLine="287"/>
        <w:spacing w:after="0" w:line="259"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and voting power percentage of that person, we have included shares and associated votes that the person has the right to acquire within 60 days, including through the exercise of any option, warrant or other right or the conversion of any other security. The calculations are based on 123,514,110 ordinary shares outstanding as of the date of this prospectus, comprising of (i) 118,514,110 Class A ordinary shares, and (ii) 5,000,000 Class B ordinary shares.</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Registered</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Pursuant</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 this</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Registration</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Statement</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(Maximum</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Class A</w:t>
            </w: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Class B</w:t>
            </w:r>
          </w:p>
        </w:tc>
        <w:tc>
          <w:tcPr>
            <w:tcW w:w="13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 Shares that</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Ordinary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 of Aggregate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may</w:t>
            </w: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Selling Shareholders: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80" w:type="dxa"/>
            <w:vAlign w:val="bottom"/>
            <w:gridSpan w:val="2"/>
          </w:tcPr>
          <w:p>
            <w:pPr>
              <w:jc w:val="center"/>
              <w:ind w:right="240"/>
              <w:spacing w:after="0" w:line="238" w:lineRule="exact"/>
              <w:rPr>
                <w:sz w:val="20"/>
                <w:szCs w:val="20"/>
                <w:color w:val="auto"/>
              </w:rPr>
            </w:pPr>
            <w:r>
              <w:rPr>
                <w:rFonts w:ascii="Times New Roman" w:cs="Times New Roman" w:eastAsia="Times New Roman" w:hAnsi="Times New Roman"/>
                <w:sz w:val="16"/>
                <w:szCs w:val="16"/>
                <w:b w:val="1"/>
                <w:bCs w:val="1"/>
                <w:color w:val="auto"/>
                <w:w w:val="97"/>
              </w:rPr>
              <w:t>Ownership</w:t>
            </w:r>
            <w:r>
              <w:rPr>
                <w:rFonts w:ascii="Times New Roman" w:cs="Times New Roman" w:eastAsia="Times New Roman" w:hAnsi="Times New Roman"/>
                <w:sz w:val="26"/>
                <w:szCs w:val="26"/>
                <w:b w:val="1"/>
                <w:bCs w:val="1"/>
                <w:color w:val="auto"/>
                <w:w w:val="97"/>
                <w:vertAlign w:val="superscript"/>
              </w:rPr>
              <w:t>†</w:t>
            </w:r>
          </w:p>
        </w:tc>
        <w:tc>
          <w:tcPr>
            <w:tcW w:w="1360" w:type="dxa"/>
            <w:vAlign w:val="bottom"/>
            <w:gridSpan w:val="2"/>
          </w:tcPr>
          <w:p>
            <w:pPr>
              <w:jc w:val="right"/>
              <w:ind w:right="280"/>
              <w:spacing w:after="0" w:line="238" w:lineRule="exact"/>
              <w:rPr>
                <w:sz w:val="20"/>
                <w:szCs w:val="20"/>
                <w:color w:val="auto"/>
              </w:rPr>
            </w:pPr>
            <w:r>
              <w:rPr>
                <w:rFonts w:ascii="Times New Roman" w:cs="Times New Roman" w:eastAsia="Times New Roman" w:hAnsi="Times New Roman"/>
                <w:sz w:val="16"/>
                <w:szCs w:val="16"/>
                <w:b w:val="1"/>
                <w:bCs w:val="1"/>
                <w:color w:val="auto"/>
                <w:w w:val="95"/>
              </w:rPr>
              <w:t>Voting Power</w:t>
            </w:r>
            <w:r>
              <w:rPr>
                <w:rFonts w:ascii="Times New Roman" w:cs="Times New Roman" w:eastAsia="Times New Roman" w:hAnsi="Times New Roman"/>
                <w:sz w:val="26"/>
                <w:szCs w:val="26"/>
                <w:b w:val="1"/>
                <w:bCs w:val="1"/>
                <w:color w:val="auto"/>
                <w:w w:val="95"/>
                <w:vertAlign w:val="superscript"/>
              </w:rPr>
              <w:t>††</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 sold)</w:t>
            </w:r>
          </w:p>
        </w:tc>
        <w:tc>
          <w:tcPr>
            <w:tcW w:w="0" w:type="dxa"/>
            <w:vAlign w:val="bottom"/>
          </w:tcPr>
          <w:p>
            <w:pPr>
              <w:spacing w:after="0"/>
              <w:rPr>
                <w:sz w:val="1"/>
                <w:szCs w:val="1"/>
                <w:color w:val="auto"/>
              </w:rPr>
            </w:pPr>
          </w:p>
        </w:tc>
      </w:tr>
      <w:tr>
        <w:trPr>
          <w:trHeight w:val="191"/>
        </w:trPr>
        <w:tc>
          <w:tcPr>
            <w:tcW w:w="4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YS Management Company Limited</w:t>
            </w:r>
            <w:r>
              <w:rPr>
                <w:rFonts w:ascii="Times New Roman" w:cs="Times New Roman" w:eastAsia="Times New Roman" w:hAnsi="Times New Roman"/>
                <w:sz w:val="26"/>
                <w:szCs w:val="26"/>
                <w:color w:val="auto"/>
                <w:vertAlign w:val="superscript"/>
              </w:rPr>
              <w:t>(1)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96,526,648</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15.61%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96,526,648</w:t>
            </w:r>
          </w:p>
        </w:tc>
        <w:tc>
          <w:tcPr>
            <w:tcW w:w="0" w:type="dxa"/>
            <w:vAlign w:val="bottom"/>
          </w:tcPr>
          <w:p>
            <w:pPr>
              <w:spacing w:after="0"/>
              <w:rPr>
                <w:sz w:val="1"/>
                <w:szCs w:val="1"/>
                <w:color w:val="auto"/>
              </w:rPr>
            </w:pPr>
          </w:p>
        </w:tc>
      </w:tr>
      <w:tr>
        <w:trPr>
          <w:trHeight w:val="227"/>
        </w:trPr>
        <w:tc>
          <w:tcPr>
            <w:tcW w:w="4620" w:type="dxa"/>
            <w:vAlign w:val="bottom"/>
            <w:gridSpan w:val="2"/>
          </w:tcPr>
          <w:p>
            <w:pPr>
              <w:spacing w:after="0" w:line="227" w:lineRule="exact"/>
              <w:rPr>
                <w:sz w:val="20"/>
                <w:szCs w:val="20"/>
                <w:color w:val="auto"/>
              </w:rPr>
            </w:pPr>
            <w:r>
              <w:rPr>
                <w:rFonts w:ascii="Times New Roman" w:cs="Times New Roman" w:eastAsia="Times New Roman" w:hAnsi="Times New Roman"/>
                <w:sz w:val="16"/>
                <w:szCs w:val="16"/>
                <w:color w:val="auto"/>
              </w:rPr>
              <w:t>Ethereal Group Ltd</w:t>
            </w:r>
            <w:r>
              <w:rPr>
                <w:rFonts w:ascii="Times New Roman" w:cs="Times New Roman" w:eastAsia="Times New Roman" w:hAnsi="Times New Roman"/>
                <w:sz w:val="26"/>
                <w:szCs w:val="26"/>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5,995,730</w:t>
            </w: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0.97%</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5,995,730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Infinew Limited</w:t>
            </w:r>
            <w:r>
              <w:rPr>
                <w:rFonts w:ascii="Times New Roman" w:cs="Times New Roman" w:eastAsia="Times New Roman" w:hAnsi="Times New Roman"/>
                <w:sz w:val="26"/>
                <w:szCs w:val="26"/>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1,225,250</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0.99%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1,225,250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4" w:right="20" w:hanging="284"/>
        <w:spacing w:after="0" w:line="280" w:lineRule="auto"/>
        <w:tabs>
          <w:tab w:leader="none" w:pos="28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ownership is calculated by dividing the number of ordinary shares beneficially owned by such person or group by the sum of the total number of ordinary shares outstanding.</w:t>
      </w:r>
    </w:p>
    <w:p>
      <w:pPr>
        <w:spacing w:after="0" w:line="144" w:lineRule="exact"/>
        <w:rPr>
          <w:sz w:val="20"/>
          <w:szCs w:val="20"/>
          <w:color w:val="auto"/>
        </w:rPr>
      </w:pPr>
    </w:p>
    <w:p>
      <w:pPr>
        <w:jc w:val="both"/>
        <w:ind w:left="284" w:hanging="284"/>
        <w:spacing w:after="0" w:line="259" w:lineRule="auto"/>
        <w:tabs>
          <w:tab w:leader="none" w:pos="28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162" w:lineRule="exact"/>
        <w:rPr>
          <w:sz w:val="20"/>
          <w:szCs w:val="20"/>
          <w:color w:val="auto"/>
        </w:rPr>
      </w:pPr>
    </w:p>
    <w:p>
      <w:pPr>
        <w:jc w:val="both"/>
        <w:ind w:left="284" w:right="20" w:hanging="284"/>
        <w:spacing w:after="0" w:line="265" w:lineRule="auto"/>
        <w:tabs>
          <w:tab w:leader="none" w:pos="28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96,526,648 Class A ordinary shares directly held by YS Management Company Limited, which is 100% owned by Yif Liu. Consequently, Yif Liu may be deemed to beneficially own the ordinary shares held by YS Management Company Limited. The principle registered address of YS Management Company Limited is Room 1604, 16/F, OfficePlus@Sheung Wan, 93-103 Wing Lok Street, Sheung Wan, Hong Kong.</w:t>
      </w:r>
    </w:p>
    <w:p>
      <w:pPr>
        <w:spacing w:after="0" w:line="155" w:lineRule="exact"/>
        <w:rPr>
          <w:rFonts w:ascii="Times New Roman" w:cs="Times New Roman" w:eastAsia="Times New Roman" w:hAnsi="Times New Roman"/>
          <w:sz w:val="16"/>
          <w:szCs w:val="16"/>
          <w:color w:val="auto"/>
        </w:rPr>
      </w:pPr>
    </w:p>
    <w:p>
      <w:pPr>
        <w:jc w:val="both"/>
        <w:ind w:left="284" w:hanging="284"/>
        <w:spacing w:after="0" w:line="265" w:lineRule="auto"/>
        <w:tabs>
          <w:tab w:leader="none" w:pos="28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5,995,730 Class A ordinary shares directly held by Ethereal Group Ltd, which is 100% owned by Jiali Zhao. Consequently, Jiali Zhao may be deemed to beneficially own the ordinary shares held by Ethereal Group Ltd. The registered address of Ethereal Group Ltd is Craigmuir Chambers, Road Town, Tortola, VG 1110, British Virgin Islands.</w:t>
      </w:r>
    </w:p>
    <w:p>
      <w:pPr>
        <w:spacing w:after="0" w:line="155" w:lineRule="exact"/>
        <w:rPr>
          <w:rFonts w:ascii="Times New Roman" w:cs="Times New Roman" w:eastAsia="Times New Roman" w:hAnsi="Times New Roman"/>
          <w:sz w:val="16"/>
          <w:szCs w:val="16"/>
          <w:color w:val="auto"/>
        </w:rPr>
      </w:pPr>
    </w:p>
    <w:p>
      <w:pPr>
        <w:jc w:val="both"/>
        <w:ind w:left="284" w:right="20" w:hanging="284"/>
        <w:spacing w:after="0" w:line="265" w:lineRule="auto"/>
        <w:tabs>
          <w:tab w:leader="none" w:pos="28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1,225,250 Class A ordinary shares directly held by Infinew Limited, which is 100% owned by Katherine Wang. Consequently, Katherine Wang may be deemed to beneficially own the ordinary shares held by Infinew Limited. The registered address of Infinew Limited is Craigmuir Chambers, Road Town, Tortola, VG 1110, British Virgin Islands.</w:t>
      </w:r>
    </w:p>
    <w:p>
      <w:pPr>
        <w:spacing w:after="0" w:line="200" w:lineRule="exact"/>
        <w:rPr>
          <w:sz w:val="20"/>
          <w:szCs w:val="20"/>
          <w:color w:val="auto"/>
        </w:rPr>
      </w:pPr>
    </w:p>
    <w:p>
      <w:pPr>
        <w:spacing w:after="0" w:line="33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200"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The term “selling shareholders” includes donees, pledgees, transferees or other successors in interest selling securities received after the date of this prospectus from the selling shareholders as a gift, pledge, partnership distribution or other transfer. We and/or any selling shareholders may sell the securities described in this prospectus from time to time in one or more of the following ways, including without limitation:</w:t>
      </w:r>
    </w:p>
    <w:p>
      <w:pPr>
        <w:spacing w:after="0" w:line="155" w:lineRule="exact"/>
        <w:rPr>
          <w:sz w:val="20"/>
          <w:szCs w:val="20"/>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or through underwriters or dealers;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to one or more purchasers;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agents;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brokerage transactions and transactions in which the broker-dealer solicits purchasers;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by a broker-dealer as principal and resale by the broker-dealer for its account;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exchange distribution in accordance with the rules of the applicable exchange;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through broker-dealers that agree with the selling shareholders to sell a specified number of such securities at a stipulated price per security;</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settlement of short sales;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distributions to employees, members, limited partners or shareholders of the selling shareholders;</w:t>
      </w:r>
    </w:p>
    <w:p>
      <w:pPr>
        <w:spacing w:after="0" w:line="198"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the writing or settlement of derivative securities, including without limitation, warrants, subscriptions, exchangeable securities, forward delivery contracts and the writing of options;</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pledge to secured debts and other obligations;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privately negotiated transactions;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a combination of any of these methods of sale; 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permitted pursuant to applicable law.</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Any prospectus supplement with respect to the offered securities, if required, will describe the terms of the offering, including the following, if applicable:</w:t>
      </w:r>
    </w:p>
    <w:p>
      <w:pPr>
        <w:spacing w:after="0" w:line="198" w:lineRule="exact"/>
        <w:rPr>
          <w:sz w:val="20"/>
          <w:szCs w:val="20"/>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 or names of any underwriters, dealers or agents;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public offering or purchase price;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from such sale;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underwriting discounts or agency fees and other items constituting underwriters’ or agents’ compensation;</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over-allotment options under which underwriters may purchase additional securities;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delayed delivery arrangements;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37" w:name="page38"/>
    <w:bookmarkEnd w:id="37"/>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method of distribution of the securities;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discounts or concessions allowed or reallowed or paid to dealers;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any agreement, arrangement or understanding entered into with the underwriters, brokers or dealers;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securities exchanges on which the securities may be listed;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we or the selling shareholders think is important.</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or any selling shareholders may distribute the securities from time to time in one or more of the following ways:</w:t>
      </w:r>
    </w:p>
    <w:p>
      <w:pPr>
        <w:spacing w:after="0" w:line="198" w:lineRule="exact"/>
        <w:rPr>
          <w:sz w:val="20"/>
          <w:szCs w:val="20"/>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fixed price or prices, which may be changed;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market prices prevailing at the time of sale, including in “at the market” offerings;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prices relating to such prevailing market prices;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varying prices determined at the time of sale; 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negotiated prices.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Such distributions may be effected:</w:t>
      </w:r>
    </w:p>
    <w:p>
      <w:pPr>
        <w:spacing w:after="0" w:line="198" w:lineRule="exact"/>
        <w:rPr>
          <w:sz w:val="20"/>
          <w:szCs w:val="20"/>
          <w:color w:val="auto"/>
        </w:rPr>
      </w:pPr>
    </w:p>
    <w:p>
      <w:pPr>
        <w:ind w:left="560" w:hanging="27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on any national securities exchange or quotation service on which the securities may be listed or quoted at the time of sale;</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in the over-the-counter market;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transactions otherwise than on such exchanges or in the over-the-counter market; or</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through other types of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By Agents</w:t>
      </w:r>
    </w:p>
    <w:p>
      <w:pPr>
        <w:spacing w:after="0" w:line="200"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We and/or any selling shareholders may designate agents who, unless otherwise indicated in the applicable prospectus supplement, will agree to use their best efforts to solicit purchases for the period of their appointment or to sell securities on a continuing basis. Any agent involved will be named, and any commissions payable by us to such agent will be set forth, in the applicable prospectus supplement.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By Underwriters or Dealers</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securities may be offered to the public either through underwriting syndicates represented by one or more managing underwriters or directly by one or more of such firms. If we and/or the selling shareholders use underwriters for the sale of securities, they will acquire securities for their own account. The underwriters may resell the securities from time to time in one or more transactions, including negotiated transactions, at a fixed public offering price or at varying prices determined at the time of sale. Unless otherwise stated in the applicable prospectus supplement, various conditions will apply to the underwriters’ obligation to purchase securities, and the underwriters will be obligated to purchase all of the securities contemplated in an offering if they purchase any of such securities. Any public offering price and any discounts or concessions allowed or reallowed or paid to dealers may be changed from time to time. The underwriter or underwriters with respect to a particular underwritten offering of securities, or, if an underwriting syndicate is used, the managing underwriter or underwriters, will be set forth on the cover of the applicable prospectus supplement.</w:t>
      </w:r>
    </w:p>
    <w:p>
      <w:pPr>
        <w:spacing w:after="0" w:line="167"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If we use dealers in the sale, unless we otherwise indicate in the applicable prospectus supplement, we will sell securities to the dealers as principals. The dealers may then resell the securities to the public at varying prices that the dealers may determine at the time of resale.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Direct Sales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and/or the selling shareholders may also sell securities directly without using agents, underwriters, or dealers.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Information</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and/or the selling shareholders may enter into agreements with underwriters, dealers and agents that entitle them to indemnification against certain civil liabilities, including liabilities under the Securities Act, or to contribution with respect to payments which the underwriters, dealers or agents may be required to make. Underwriters, dealers and agents may be customers of, may engage in transactions with, or perform services for, us or our subsidiaries, or the selling shareholders and their affiliates, in the ordinary course of business.</w:t>
      </w:r>
    </w:p>
    <w:p>
      <w:pPr>
        <w:spacing w:after="0" w:line="162"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Underwriters, dealers and agents that participate in the distribution of the securities may be underwriters as defined in the Securities Act, and any discounts or commissions received by them from us and/or the selling shareholders and any profit on the resale of the securities by them may be treated as underwriting discounts and commissions under the Securities Act. Any underwriters, dealers or agents used in the offer or sale of securities will be identified and their compensation described in an applicable prospectus supplement.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Selling Shareholders</w:t>
      </w:r>
    </w:p>
    <w:p>
      <w:pPr>
        <w:spacing w:after="0" w:line="200"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selling shareholders may sell Class A ordinary shares held by the selling shareholders, from time to time, using one or more of the methods described above. There can be no assurance, however, that the selling shareholders will sell any or all of their Class A ordinary shares pursuant to this prospectus.</w:t>
      </w:r>
    </w:p>
    <w:p>
      <w:pPr>
        <w:spacing w:after="0" w:line="144"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The aggregate proceeds to the selling shareholders from the sale of the securities offered by them will be the purchase price of the securities less discounts or commissions, if any. The selling shareholders reserve the right to accept and, together with their agents from time to time, to reject, in whole or in part, any proposed purchase of securities to be made directly or through agents. We will not receive any proceeds from the sale of securities by the selling shareholders.</w:t>
      </w:r>
    </w:p>
    <w:p>
      <w:pPr>
        <w:spacing w:after="0" w:line="15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The selling shareholders may resell all or a portion of the securities in open market transactions in reliance upon Rule 144 under the Securities Act, as permitted by that rule, or Section 4(a)(1) under the Securities Act, if available, rather than under this prospectus, provided that they meet the criteria and conform to the requirements of those provisions.</w:t>
      </w:r>
    </w:p>
    <w:p>
      <w:pPr>
        <w:spacing w:after="0" w:line="155"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The selling shareholders may, from time to time, pledge or grant a security interest in some or all of the securities owned by them and, if they default in the performance of their secured obligations, the pledgees or secured parties may offer and sell the securities, from time to time, pursuant to this prospectus as supplemented or amended as and if necessary.</w:t>
      </w:r>
    </w:p>
    <w:p>
      <w:pPr>
        <w:spacing w:after="0" w:line="155"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In connection with the sale of our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our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securities offered by this prospectus, which shares such broker-dealer or other financial institution may resell pursuant to this prospectus (as further supplemented or amended to reflect such transaction).</w:t>
      </w:r>
    </w:p>
    <w:p>
      <w:pPr>
        <w:spacing w:after="0" w:line="165" w:lineRule="exact"/>
        <w:rPr>
          <w:sz w:val="20"/>
          <w:szCs w:val="20"/>
          <w:color w:val="auto"/>
        </w:rPr>
      </w:pPr>
    </w:p>
    <w:p>
      <w:pPr>
        <w:jc w:val="both"/>
        <w:ind w:right="20" w:firstLine="287"/>
        <w:spacing w:after="0" w:line="257" w:lineRule="auto"/>
        <w:rPr>
          <w:sz w:val="20"/>
          <w:szCs w:val="20"/>
          <w:color w:val="auto"/>
        </w:rPr>
      </w:pPr>
      <w:r>
        <w:rPr>
          <w:rFonts w:ascii="Times New Roman" w:cs="Times New Roman" w:eastAsia="Times New Roman" w:hAnsi="Times New Roman"/>
          <w:sz w:val="16"/>
          <w:szCs w:val="16"/>
          <w:color w:val="auto"/>
        </w:rPr>
        <w:t>The selling shareholders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62" w:lineRule="exact"/>
        <w:rPr>
          <w:sz w:val="20"/>
          <w:szCs w:val="20"/>
          <w:color w:val="auto"/>
        </w:rPr>
      </w:pPr>
    </w:p>
    <w:p>
      <w:pPr>
        <w:jc w:val="both"/>
        <w:ind w:firstLine="287"/>
        <w:spacing w:after="0" w:line="255" w:lineRule="auto"/>
        <w:rPr>
          <w:sz w:val="20"/>
          <w:szCs w:val="20"/>
          <w:color w:val="auto"/>
        </w:rPr>
      </w:pPr>
      <w:r>
        <w:rPr>
          <w:rFonts w:ascii="Times New Roman" w:cs="Times New Roman" w:eastAsia="Times New Roman" w:hAnsi="Times New Roman"/>
          <w:sz w:val="16"/>
          <w:szCs w:val="16"/>
          <w:color w:val="auto"/>
        </w:rPr>
        <w:t>Class A ordinary shares may also be exchanged for satisfaction of selling shareholders’ obligations or other liabilities to their creditors. Such transactions may or may not involve brokers or dealers. In addition, a selling shareholder that is an entity may elect to make an in-kind distribution of securities to its members, partners or shareholders or purchase or redeem interests held in such entity by its members, partners or shareholders in exchange for securities, in each case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our affiliate (or to the extent otherwise required by law), we may file a prospectus supplement in order to permit the distributees to use the prospectus to resell the securities acquired in the distribution.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9" w:name="page40"/>
    <w:bookmarkEnd w:id="39"/>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If indicated in the applicable prospectus supplement, underwriters, brokers, dealers or agents will be authorized to solicit offers by certain institutional investors to purchase securities from the selling shareholders pursuant to contracts providing for payment and delivery at a future date. Institutional investors with which these contracts may be made include, among others:</w:t>
      </w:r>
    </w:p>
    <w:p>
      <w:pPr>
        <w:spacing w:after="0" w:line="155" w:lineRule="exact"/>
        <w:rPr>
          <w:sz w:val="20"/>
          <w:szCs w:val="20"/>
          <w:color w:val="auto"/>
        </w:rPr>
      </w:pPr>
    </w:p>
    <w:p>
      <w:pPr>
        <w:ind w:left="560" w:hanging="278"/>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and savings banks;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pension funds;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companies; and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educational and charitable institutions.</w:t>
      </w:r>
    </w:p>
    <w:p>
      <w:pPr>
        <w:spacing w:after="0" w:line="198"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In all cases, these purchasers must be approved by such selling shareholders.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the selling shareholders must have sold to these underwriters the securities not subject to delayed delivery. Underwriters and other agents will not have any responsibility in respect of the validity or performance of these contracts.</w:t>
      </w:r>
    </w:p>
    <w:p>
      <w:pPr>
        <w:spacing w:after="0" w:line="162" w:lineRule="exact"/>
        <w:rPr>
          <w:sz w:val="20"/>
          <w:szCs w:val="20"/>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The selling shareholders may be deemed to be “underwriters” within the meaning of Section 2(a)(11) of the Securities Act. Should the selling shareholders be deemed to be “underwriters,” the selling shareholders would be subject to the prospectus delivery requirements of the Securities Act.</w:t>
      </w:r>
    </w:p>
    <w:p>
      <w:pPr>
        <w:spacing w:after="0" w:line="144"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To the extent required, the shares to be sold, the name of the selling shareholders, the respective purchase prices and public offering prices, the names of any agent,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5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In order 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spacing w:after="0" w:line="155"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spacing w:after="0" w:line="162" w:lineRule="exact"/>
        <w:rPr>
          <w:sz w:val="20"/>
          <w:szCs w:val="20"/>
          <w:color w:val="auto"/>
        </w:rPr>
      </w:pPr>
    </w:p>
    <w:p>
      <w:pPr>
        <w:jc w:val="both"/>
        <w:ind w:firstLine="287"/>
        <w:spacing w:after="0" w:line="265" w:lineRule="auto"/>
        <w:rPr>
          <w:sz w:val="20"/>
          <w:szCs w:val="20"/>
          <w:color w:val="auto"/>
        </w:rPr>
      </w:pPr>
      <w:r>
        <w:rPr>
          <w:rFonts w:ascii="Times New Roman" w:cs="Times New Roman" w:eastAsia="Times New Roman" w:hAnsi="Times New Roman"/>
          <w:sz w:val="16"/>
          <w:szCs w:val="16"/>
          <w:color w:val="auto"/>
        </w:rPr>
        <w:t>We will pay all expenses of the registration of the Class A ordinary shares, including, without limitation, SEC filing fees and expenses of compliance with state securities or “blue sky” laws; provided, however, that the selling shareholders will pay all underwriting discounts and selling commissions, if any, and any related legal expenses incurred by them.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EXPENSES RELATED TO THE OFFERING</w:t>
      </w:r>
    </w:p>
    <w:p>
      <w:pPr>
        <w:spacing w:after="0" w:line="200"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We will incur printing costs, legal fees and expenses, accountants’ fees and expenses, and other listing and qualifications fees in connection with the offering of securities. Expenses of any of the securities offered by this prospectus will be set forth in the applicable prospectus supplement(s) relating to the offering of those securities. We will pay all expenses in connection with the distribution of the ordinary shares being sold by the selling shareholders, except for the underwriting discounts and selling commissions payable by, and all legal fees and expenses of legal counsel for, the selling shareholders, if 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We are being represented by Han Kun Law Offices LLP with respect to certain legal matters of United States federal securities and New York state law. The validity of the Class A ordinary shares offered in this offering and certain legal matters as to Cayman Islands law will be passed upon for us by Maples and Calder (Hong Kong) LLP. Certain legal matters as to PRC law will be passed upon for us by Hai Run Law Firm. Han Kun Law Offices LLP may rely upon Maples and Calder (Hong Kong) LLP with respect to matters governed by Cayman Islands law and Hai Run Law Firm with respect to matters governed by PRC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200" w:lineRule="exact"/>
        <w:rPr>
          <w:sz w:val="20"/>
          <w:szCs w:val="20"/>
          <w:color w:val="auto"/>
        </w:rPr>
      </w:pPr>
    </w:p>
    <w:p>
      <w:pPr>
        <w:jc w:val="both"/>
        <w:ind w:right="20" w:firstLine="287"/>
        <w:spacing w:after="0" w:line="259" w:lineRule="auto"/>
        <w:rPr>
          <w:sz w:val="20"/>
          <w:szCs w:val="20"/>
          <w:color w:val="auto"/>
        </w:rPr>
      </w:pPr>
      <w:r>
        <w:rPr>
          <w:rFonts w:ascii="Times New Roman" w:cs="Times New Roman" w:eastAsia="Times New Roman" w:hAnsi="Times New Roman"/>
          <w:sz w:val="16"/>
          <w:szCs w:val="16"/>
          <w:color w:val="auto"/>
        </w:rPr>
        <w:t>The consolidated financial statements of AIFU Inc. as of and for the years ended December 31, 2024 and 2025, incorporated in this prospectus by reference to our annual report on Form 20-F for the year ended December 31, 2025, have been audited by Enrome LLP, an independent registered public accounting firm, as stated in their report. Such consolidated financial statements are incorporated herein by reference in reliance upon such report given on the authority of such firm as experts in accounting and auditing. The registered business address of Enrome LLP is 143 Cecil Street, #19-03/04 GB Building Singapore 069542.</w:t>
      </w:r>
    </w:p>
    <w:p>
      <w:pPr>
        <w:spacing w:after="0" w:line="162" w:lineRule="exact"/>
        <w:rPr>
          <w:sz w:val="20"/>
          <w:szCs w:val="20"/>
          <w:color w:val="auto"/>
        </w:rPr>
      </w:pPr>
    </w:p>
    <w:p>
      <w:pPr>
        <w:jc w:val="both"/>
        <w:ind w:firstLine="287"/>
        <w:spacing w:after="0" w:line="257" w:lineRule="auto"/>
        <w:rPr>
          <w:sz w:val="20"/>
          <w:szCs w:val="20"/>
          <w:color w:val="auto"/>
        </w:rPr>
      </w:pPr>
      <w:r>
        <w:rPr>
          <w:rFonts w:ascii="Times New Roman" w:cs="Times New Roman" w:eastAsia="Times New Roman" w:hAnsi="Times New Roman"/>
          <w:sz w:val="16"/>
          <w:szCs w:val="16"/>
          <w:color w:val="auto"/>
        </w:rPr>
        <w:t>The consolidated financial statements of AIFU Inc. for the year ended December 31, 2023, incorporated in this prospectus by reference to our annual report on Form 20-F for the year ended December 31, 2025, have been audited by Deloitte Touche Tohmatsu Certified Public Accountants LLP, an independent registered public accounting firm, as stated in their report. Such consolidated financial statements are incorporated herein by reference in reliance upon such report given on the authority of such firm as experts in accounting and auditing. The registered business address of Deloitte Touche Tohmatsu Certified Public Accountants LLP is Shenzhen Branch9/F China Resources Building5001 Shennan Road East Shenzhen 518010, PRC.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 ABOUT US</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All information filed with the SEC can be obtained over the internet at the SEC’s website at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 xml:space="preserve">.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You can also find information on our website </w:t>
      </w:r>
      <w:r>
        <w:rPr>
          <w:rFonts w:ascii="Times New Roman" w:cs="Times New Roman" w:eastAsia="Times New Roman" w:hAnsi="Times New Roman"/>
          <w:sz w:val="16"/>
          <w:szCs w:val="16"/>
          <w:i w:val="1"/>
          <w:iCs w:val="1"/>
          <w:color w:val="auto"/>
        </w:rPr>
        <w:t>http://ir.aifugroup.com</w:t>
      </w:r>
      <w:r>
        <w:rPr>
          <w:rFonts w:ascii="Times New Roman" w:cs="Times New Roman" w:eastAsia="Times New Roman" w:hAnsi="Times New Roman"/>
          <w:sz w:val="16"/>
          <w:szCs w:val="16"/>
          <w:color w:val="auto"/>
        </w:rPr>
        <w:t>. The information contained on our websites is not a part of this prospectus.</w:t>
      </w:r>
    </w:p>
    <w:p>
      <w:pPr>
        <w:spacing w:after="0" w:line="167" w:lineRule="exact"/>
        <w:rPr>
          <w:sz w:val="20"/>
          <w:szCs w:val="20"/>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OF DOCUMENTS BY REFERENCE</w:t>
      </w:r>
    </w:p>
    <w:p>
      <w:pPr>
        <w:spacing w:after="0" w:line="200" w:lineRule="exact"/>
        <w:rPr>
          <w:sz w:val="20"/>
          <w:szCs w:val="20"/>
          <w:color w:val="auto"/>
        </w:rPr>
      </w:pPr>
    </w:p>
    <w:p>
      <w:pPr>
        <w:jc w:val="both"/>
        <w:ind w:firstLine="287"/>
        <w:spacing w:after="0" w:line="254" w:lineRule="auto"/>
        <w:rPr>
          <w:sz w:val="20"/>
          <w:szCs w:val="20"/>
          <w:color w:val="auto"/>
        </w:rPr>
      </w:pPr>
      <w:r>
        <w:rPr>
          <w:rFonts w:ascii="Times New Roman" w:cs="Times New Roman" w:eastAsia="Times New Roman" w:hAnsi="Times New Roman"/>
          <w:sz w:val="16"/>
          <w:szCs w:val="16"/>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incorporate by reference the following documents:</w:t>
      </w:r>
    </w:p>
    <w:p>
      <w:pPr>
        <w:spacing w:after="0" w:line="198" w:lineRule="exact"/>
        <w:rPr>
          <w:sz w:val="20"/>
          <w:szCs w:val="20"/>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annual report on </w:t>
      </w:r>
      <w:hyperlink r:id="rId70">
        <w:r>
          <w:rPr>
            <w:rFonts w:ascii="Times New Roman" w:cs="Times New Roman" w:eastAsia="Times New Roman" w:hAnsi="Times New Roman"/>
            <w:sz w:val="16"/>
            <w:szCs w:val="16"/>
            <w:u w:val="single" w:color="auto"/>
            <w:color w:val="0000EE"/>
          </w:rPr>
          <w:t>Form 20-F</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December 31, 2025 filed on April 28, 2026;</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 on </w:t>
      </w:r>
      <w:hyperlink r:id="rId71">
        <w:r>
          <w:rPr>
            <w:rFonts w:ascii="Times New Roman" w:cs="Times New Roman" w:eastAsia="Times New Roman" w:hAnsi="Times New Roman"/>
            <w:sz w:val="16"/>
            <w:szCs w:val="16"/>
            <w:u w:val="single" w:color="auto"/>
            <w:color w:val="0000EE"/>
          </w:rPr>
          <w:t>Form 6-K</w:t>
        </w:r>
      </w:hyperlink>
      <w:r>
        <w:rPr>
          <w:rFonts w:ascii="Times New Roman" w:cs="Times New Roman" w:eastAsia="Times New Roman" w:hAnsi="Times New Roman"/>
          <w:sz w:val="16"/>
          <w:szCs w:val="16"/>
          <w:color w:val="auto"/>
        </w:rPr>
        <w:t>, including the exhibits attached thereto, furnished with the SEC on April 29, 2026;</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securities contained in the Registration Statement on </w:t>
      </w:r>
      <w:hyperlink r:id="rId72">
        <w:r>
          <w:rPr>
            <w:rFonts w:ascii="Times New Roman" w:cs="Times New Roman" w:eastAsia="Times New Roman" w:hAnsi="Times New Roman"/>
            <w:sz w:val="16"/>
            <w:szCs w:val="16"/>
            <w:u w:val="single" w:color="auto"/>
            <w:color w:val="0000EE"/>
          </w:rPr>
          <w:t>Form 8-A</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filed with the SEC on October 25, 2007, and any other amendment or report filed for the purpose of updating such description;</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annual reports on Form 20-F filed with the SEC after the date of this prospectus and prior to the termination of the offering of the securities offered by this prospectus; and</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future reports on Form 6-K that we furnish to the SEC after the date of this prospectus that are identified in such reports as being incorporated by reference in this prospectus.</w:t>
      </w:r>
    </w:p>
    <w:p>
      <w:pPr>
        <w:spacing w:after="0" w:line="144" w:lineRule="exact"/>
        <w:rPr>
          <w:rFonts w:ascii="Times New Roman" w:cs="Times New Roman" w:eastAsia="Times New Roman" w:hAnsi="Times New Roman"/>
          <w:sz w:val="16"/>
          <w:szCs w:val="16"/>
          <w:color w:val="auto"/>
        </w:rPr>
      </w:pPr>
    </w:p>
    <w:p>
      <w:pPr>
        <w:jc w:val="both"/>
        <w:ind w:right="20" w:firstLine="287"/>
        <w:spacing w:after="0" w:line="280" w:lineRule="auto"/>
        <w:rPr>
          <w:sz w:val="20"/>
          <w:szCs w:val="20"/>
          <w:color w:val="auto"/>
        </w:rPr>
      </w:pPr>
      <w:r>
        <w:rPr>
          <w:rFonts w:ascii="Times New Roman" w:cs="Times New Roman" w:eastAsia="Times New Roman" w:hAnsi="Times New Roman"/>
          <w:sz w:val="16"/>
          <w:szCs w:val="16"/>
          <w:color w:val="auto"/>
        </w:rPr>
        <w:t>Our annual report for the fiscal year ended December 31, 2025 contains a description of our business and audited consolidated financial statements with a report by our independent auditor. The consolidated financial statements are prepared and presented in accordance with U.S. GAAP.</w:t>
      </w:r>
    </w:p>
    <w:p>
      <w:pPr>
        <w:spacing w:after="0" w:line="144" w:lineRule="exact"/>
        <w:rPr>
          <w:rFonts w:ascii="Times New Roman" w:cs="Times New Roman" w:eastAsia="Times New Roman" w:hAnsi="Times New Roman"/>
          <w:sz w:val="16"/>
          <w:szCs w:val="16"/>
          <w:color w:val="auto"/>
        </w:rPr>
      </w:pPr>
    </w:p>
    <w:p>
      <w:pPr>
        <w:jc w:val="both"/>
        <w:ind w:firstLine="287"/>
        <w:spacing w:after="0" w:line="259" w:lineRule="auto"/>
        <w:rPr>
          <w:sz w:val="20"/>
          <w:szCs w:val="20"/>
          <w:color w:val="auto"/>
        </w:rPr>
      </w:pPr>
      <w:r>
        <w:rPr>
          <w:rFonts w:ascii="Times New Roman" w:cs="Times New Roman" w:eastAsia="Times New Roman" w:hAnsi="Times New Roman"/>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62"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AIFU Inc.</w:t>
      </w:r>
    </w:p>
    <w:p>
      <w:pPr>
        <w:spacing w:after="0" w:line="24"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Room 1, Building 10,</w:t>
      </w:r>
    </w:p>
    <w:p>
      <w:pPr>
        <w:spacing w:after="0" w:line="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Jinzhong Guobin Hui Qinyuan 2nd Road</w:t>
      </w:r>
    </w:p>
    <w:p>
      <w:pPr>
        <w:spacing w:after="0" w:line="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Lihu Community, Xili Street</w:t>
      </w:r>
    </w:p>
    <w:p>
      <w:pPr>
        <w:spacing w:after="0" w:line="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Shenzhen, 518055</w:t>
      </w:r>
    </w:p>
    <w:p>
      <w:pPr>
        <w:spacing w:after="0" w:line="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+86 755 22671879</w:t>
      </w:r>
    </w:p>
    <w:p>
      <w:pPr>
        <w:spacing w:after="0" w:line="182" w:lineRule="exact"/>
        <w:rPr>
          <w:rFonts w:ascii="Times New Roman" w:cs="Times New Roman" w:eastAsia="Times New Roman" w:hAnsi="Times New Roman"/>
          <w:sz w:val="16"/>
          <w:szCs w:val="16"/>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34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2" w:name="page43"/>
    <w:bookmarkEnd w:id="42"/>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ind w:left="3744"/>
        <w:spacing w:after="0"/>
        <w:rPr>
          <w:sz w:val="20"/>
          <w:szCs w:val="20"/>
          <w:color w:val="auto"/>
        </w:rPr>
      </w:pPr>
      <w:r>
        <w:rPr>
          <w:rFonts w:ascii="Times New Roman" w:cs="Times New Roman" w:eastAsia="Times New Roman" w:hAnsi="Times New Roman"/>
          <w:sz w:val="16"/>
          <w:szCs w:val="16"/>
          <w:b w:val="1"/>
          <w:bCs w:val="1"/>
          <w:color w:val="auto"/>
        </w:rPr>
        <w:t>INFORMATION NOT REQUIRED IN PROSPECTUS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8. INDEMNIFICATION OF DIRECTORS AND OFFICERS</w:t>
      </w:r>
    </w:p>
    <w:p>
      <w:pPr>
        <w:spacing w:after="0" w:line="200" w:lineRule="exact"/>
        <w:rPr>
          <w:sz w:val="20"/>
          <w:szCs w:val="20"/>
          <w:color w:val="auto"/>
        </w:rPr>
      </w:pPr>
    </w:p>
    <w:p>
      <w:pPr>
        <w:jc w:val="both"/>
        <w:ind w:left="4" w:firstLine="287"/>
        <w:spacing w:after="0" w:line="252" w:lineRule="auto"/>
        <w:rPr>
          <w:sz w:val="20"/>
          <w:szCs w:val="20"/>
          <w:color w:val="auto"/>
        </w:rPr>
      </w:pPr>
      <w:r>
        <w:rPr>
          <w:rFonts w:ascii="Times New Roman" w:cs="Times New Roman" w:eastAsia="Times New Roman" w:hAnsi="Times New Roman"/>
          <w:sz w:val="16"/>
          <w:szCs w:val="16"/>
          <w:color w:val="auto"/>
        </w:rPr>
        <w:t>The Companies Act of the Cayman Islands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dishonesty, willful default or fraud or the consequences of committing a crime. Our amended and restated memorandum and articles of association provide that that we shall indemnify our directors and officers for the time being and from time to time, against all actions, proceedings, costs, charges, expenses, losses, damages or liabilities incurred or sustained by such persons, other than by reason of such person's willful neglect or default, in connection with the execution or discharge of his duties, powers, authorities or discretions as a director or officer of the Company, including without prejudice to the generality of the foregoing, any costs, expenses, losses or liabilities incurred by such director or officer in defending (whether successfully or otherwise) any civil proceedings concerning or in any way related to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executive officers that will provide such persons with additional indemnification beyond that provided in our articles of association.</w:t>
      </w:r>
    </w:p>
    <w:p>
      <w:pPr>
        <w:spacing w:after="0" w:line="171" w:lineRule="exact"/>
        <w:rPr>
          <w:sz w:val="20"/>
          <w:szCs w:val="20"/>
          <w:color w:val="auto"/>
        </w:rPr>
      </w:pPr>
    </w:p>
    <w:p>
      <w:pPr>
        <w:jc w:val="both"/>
        <w:ind w:left="4" w:right="20" w:firstLine="287"/>
        <w:spacing w:after="0" w:line="265" w:lineRule="auto"/>
        <w:rPr>
          <w:sz w:val="20"/>
          <w:szCs w:val="20"/>
          <w:color w:val="auto"/>
        </w:rPr>
      </w:pPr>
      <w:r>
        <w:rPr>
          <w:rFonts w:ascii="Times New Roman" w:cs="Times New Roman" w:eastAsia="Times New Roman" w:hAnsi="Times New Roman"/>
          <w:sz w:val="16"/>
          <w:szCs w:val="16"/>
          <w:color w:val="auto"/>
        </w:rPr>
        <w:t>Under the indemnification agreements with our directors and executive officers, the form of which was filed as Exhibit 10.3 to our registration statement on Form F-1, as amended (File No. 333-146605), we have agreed to indemnify our directors and executive officers against certain liabilities and expenses incurred by such persons in connection with claims made by reason of their being such a director or executive officer.</w:t>
      </w:r>
    </w:p>
    <w:p>
      <w:pPr>
        <w:spacing w:after="0" w:line="155" w:lineRule="exact"/>
        <w:rPr>
          <w:sz w:val="20"/>
          <w:szCs w:val="20"/>
          <w:color w:val="auto"/>
        </w:rPr>
      </w:pPr>
    </w:p>
    <w:p>
      <w:pPr>
        <w:jc w:val="both"/>
        <w:ind w:left="4" w:right="20" w:firstLine="287"/>
        <w:spacing w:after="0" w:line="280" w:lineRule="auto"/>
        <w:rPr>
          <w:sz w:val="20"/>
          <w:szCs w:val="20"/>
          <w:color w:val="auto"/>
        </w:rPr>
      </w:pPr>
      <w:r>
        <w:rPr>
          <w:rFonts w:ascii="Times New Roman" w:cs="Times New Roman" w:eastAsia="Times New Roman" w:hAnsi="Times New Roman"/>
          <w:sz w:val="16"/>
          <w:szCs w:val="16"/>
          <w:color w:val="auto"/>
        </w:rPr>
        <w:t>Any underwriting agreement entered into in connection with an offering of our securities may also provide for indemnification of us and our officers and directors in certain cases.</w:t>
      </w:r>
    </w:p>
    <w:p>
      <w:pPr>
        <w:spacing w:after="0" w:line="144" w:lineRule="exact"/>
        <w:rPr>
          <w:sz w:val="20"/>
          <w:szCs w:val="20"/>
          <w:color w:val="auto"/>
        </w:rPr>
      </w:pPr>
    </w:p>
    <w:p>
      <w:pPr>
        <w:jc w:val="both"/>
        <w:ind w:left="4" w:right="20" w:firstLine="287"/>
        <w:spacing w:after="0" w:line="315"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 EXHIBITS</w:t>
      </w:r>
    </w:p>
    <w:p>
      <w:pPr>
        <w:spacing w:after="0" w:line="200"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6"/>
          <w:szCs w:val="16"/>
          <w:color w:val="auto"/>
        </w:rPr>
        <w:t>See Exhibit Index beginning on page II-4 of this registration statement.</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10. UNDERTAKINGS.</w:t>
      </w:r>
    </w:p>
    <w:p>
      <w:pPr>
        <w:spacing w:after="0" w:line="200" w:lineRule="exact"/>
        <w:rPr>
          <w:sz w:val="20"/>
          <w:szCs w:val="20"/>
          <w:color w:val="auto"/>
        </w:rPr>
      </w:pPr>
    </w:p>
    <w:p>
      <w:pPr>
        <w:ind w:left="224" w:hanging="224"/>
        <w:spacing w:after="0"/>
        <w:tabs>
          <w:tab w:leader="none" w:pos="2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w:t>
      </w:r>
    </w:p>
    <w:p>
      <w:pPr>
        <w:spacing w:after="0" w:line="198" w:lineRule="exact"/>
        <w:rPr>
          <w:rFonts w:ascii="Times New Roman" w:cs="Times New Roman" w:eastAsia="Times New Roman" w:hAnsi="Times New Roman"/>
          <w:sz w:val="16"/>
          <w:szCs w:val="16"/>
          <w:color w:val="auto"/>
        </w:rPr>
      </w:pPr>
    </w:p>
    <w:p>
      <w:pPr>
        <w:ind w:left="504" w:hanging="218"/>
        <w:spacing w:after="0"/>
        <w:tabs>
          <w:tab w:leader="none" w:pos="504"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198" w:lineRule="exact"/>
        <w:rPr>
          <w:rFonts w:ascii="Times New Roman" w:cs="Times New Roman" w:eastAsia="Times New Roman" w:hAnsi="Times New Roman"/>
          <w:sz w:val="16"/>
          <w:szCs w:val="16"/>
          <w:color w:val="auto"/>
        </w:rPr>
      </w:pPr>
    </w:p>
    <w:p>
      <w:pPr>
        <w:ind w:left="764" w:hanging="191"/>
        <w:spacing w:after="0"/>
        <w:tabs>
          <w:tab w:leader="none" w:pos="764"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198" w:lineRule="exact"/>
        <w:rPr>
          <w:rFonts w:ascii="Times New Roman" w:cs="Times New Roman" w:eastAsia="Times New Roman" w:hAnsi="Times New Roman"/>
          <w:sz w:val="16"/>
          <w:szCs w:val="16"/>
          <w:color w:val="auto"/>
        </w:rPr>
      </w:pPr>
    </w:p>
    <w:p>
      <w:pPr>
        <w:ind w:left="284" w:right="20" w:firstLine="289"/>
        <w:spacing w:after="0" w:line="280" w:lineRule="auto"/>
        <w:tabs>
          <w:tab w:leader="none" w:pos="815" w:val="left"/>
        </w:tabs>
        <w:numPr>
          <w:ilvl w:val="2"/>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43" w:name="page44"/>
    <w:bookmarkEnd w:id="43"/>
    <w:p>
      <w:pPr>
        <w:jc w:val="both"/>
        <w:ind w:left="280" w:right="20" w:firstLine="289"/>
        <w:spacing w:after="0" w:line="259" w:lineRule="auto"/>
        <w:tabs>
          <w:tab w:leader="none" w:pos="84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1" w:lineRule="exact"/>
        <w:rPr>
          <w:rFonts w:ascii="Times New Roman" w:cs="Times New Roman" w:eastAsia="Times New Roman" w:hAnsi="Times New Roman"/>
          <w:sz w:val="16"/>
          <w:szCs w:val="16"/>
          <w:color w:val="auto"/>
        </w:rPr>
      </w:pPr>
    </w:p>
    <w:p>
      <w:pPr>
        <w:ind w:left="280" w:firstLine="323"/>
        <w:spacing w:after="0" w:line="280" w:lineRule="auto"/>
        <w:tabs>
          <w:tab w:leader="none" w:pos="879"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paragraphs (a)(1)(i), (a)(1)(ii) and (a)(1)(iii) of this item do not apply if the information required to be included in a post-effective amendment by those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paragraphs is contained in periodic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55" w:lineRule="exact"/>
        <w:rPr>
          <w:sz w:val="20"/>
          <w:szCs w:val="20"/>
          <w:color w:val="auto"/>
        </w:rPr>
      </w:pPr>
    </w:p>
    <w:p>
      <w:pPr>
        <w:ind w:right="20" w:firstLine="282"/>
        <w:spacing w:after="0" w:line="280" w:lineRule="auto"/>
        <w:tabs>
          <w:tab w:leader="none" w:pos="5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44" w:lineRule="exact"/>
        <w:rPr>
          <w:rFonts w:ascii="Times New Roman" w:cs="Times New Roman" w:eastAsia="Times New Roman" w:hAnsi="Times New Roman"/>
          <w:sz w:val="16"/>
          <w:szCs w:val="16"/>
          <w:color w:val="auto"/>
        </w:rPr>
      </w:pPr>
    </w:p>
    <w:p>
      <w:pPr>
        <w:ind w:left="500" w:hanging="218"/>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 offering.</w:t>
      </w:r>
    </w:p>
    <w:p>
      <w:pPr>
        <w:spacing w:after="0" w:line="198" w:lineRule="exact"/>
        <w:rPr>
          <w:rFonts w:ascii="Times New Roman" w:cs="Times New Roman" w:eastAsia="Times New Roman" w:hAnsi="Times New Roman"/>
          <w:sz w:val="16"/>
          <w:szCs w:val="16"/>
          <w:color w:val="auto"/>
        </w:rPr>
      </w:pPr>
    </w:p>
    <w:p>
      <w:pPr>
        <w:jc w:val="both"/>
        <w:ind w:firstLine="282"/>
        <w:spacing w:after="0" w:line="254" w:lineRule="auto"/>
        <w:tabs>
          <w:tab w:leader="none" w:pos="52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SEC by the registrant pursuant to Section 13 or Section 15(d) of the Exchange Act that are incorporated by reference in this registration statement.</w:t>
      </w:r>
    </w:p>
    <w:p>
      <w:pPr>
        <w:spacing w:after="0" w:line="166" w:lineRule="exact"/>
        <w:rPr>
          <w:rFonts w:ascii="Times New Roman" w:cs="Times New Roman" w:eastAsia="Times New Roman" w:hAnsi="Times New Roman"/>
          <w:sz w:val="16"/>
          <w:szCs w:val="16"/>
          <w:color w:val="auto"/>
        </w:rPr>
      </w:pPr>
    </w:p>
    <w:p>
      <w:pPr>
        <w:ind w:left="500" w:hanging="218"/>
        <w:spacing w:after="0"/>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under the Securities Act to any purchaser:</w:t>
      </w:r>
    </w:p>
    <w:p>
      <w:pPr>
        <w:spacing w:after="0" w:line="198" w:lineRule="exact"/>
        <w:rPr>
          <w:rFonts w:ascii="Times New Roman" w:cs="Times New Roman" w:eastAsia="Times New Roman" w:hAnsi="Times New Roman"/>
          <w:sz w:val="16"/>
          <w:szCs w:val="16"/>
          <w:color w:val="auto"/>
        </w:rPr>
      </w:pPr>
    </w:p>
    <w:p>
      <w:pPr>
        <w:ind w:left="280" w:right="20" w:firstLine="289"/>
        <w:spacing w:after="0" w:line="280" w:lineRule="auto"/>
        <w:tabs>
          <w:tab w:leader="none" w:pos="768"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4" w:lineRule="exact"/>
        <w:rPr>
          <w:rFonts w:ascii="Times New Roman" w:cs="Times New Roman" w:eastAsia="Times New Roman" w:hAnsi="Times New Roman"/>
          <w:sz w:val="16"/>
          <w:szCs w:val="16"/>
          <w:color w:val="auto"/>
        </w:rPr>
      </w:pPr>
    </w:p>
    <w:p>
      <w:pPr>
        <w:jc w:val="both"/>
        <w:ind w:left="280" w:firstLine="289"/>
        <w:spacing w:after="0" w:line="253" w:lineRule="auto"/>
        <w:tabs>
          <w:tab w:leader="none" w:pos="807"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ind w:left="284"/>
        <w:spacing w:after="0"/>
        <w:rPr>
          <w:sz w:val="20"/>
          <w:szCs w:val="20"/>
          <w:color w:val="auto"/>
        </w:rPr>
      </w:pPr>
      <w:r>
        <w:rPr>
          <w:rFonts w:ascii="Times New Roman" w:cs="Times New Roman" w:eastAsia="Times New Roman" w:hAnsi="Times New Roman"/>
          <w:sz w:val="16"/>
          <w:szCs w:val="16"/>
          <w:color w:val="auto"/>
        </w:rPr>
        <w:t>(6) That, for the purpose of determining liability of the registrant under the Securities Act to any purchaser in the initial distribution of the securities:</w:t>
      </w:r>
    </w:p>
    <w:p>
      <w:pPr>
        <w:spacing w:after="0" w:line="198" w:lineRule="exact"/>
        <w:rPr>
          <w:sz w:val="20"/>
          <w:szCs w:val="20"/>
          <w:color w:val="auto"/>
        </w:rPr>
      </w:pPr>
    </w:p>
    <w:p>
      <w:pPr>
        <w:jc w:val="both"/>
        <w:ind w:left="4" w:right="20" w:firstLine="287"/>
        <w:spacing w:after="0" w:line="265" w:lineRule="auto"/>
        <w:rPr>
          <w:sz w:val="20"/>
          <w:szCs w:val="20"/>
          <w:color w:val="auto"/>
        </w:rPr>
      </w:pPr>
      <w:r>
        <w:rPr>
          <w:rFonts w:ascii="Times New Roman" w:cs="Times New Roman" w:eastAsia="Times New Roman" w:hAnsi="Times New Roman"/>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5" w:lineRule="exact"/>
        <w:rPr>
          <w:sz w:val="20"/>
          <w:szCs w:val="20"/>
          <w:color w:val="auto"/>
        </w:rPr>
      </w:pPr>
    </w:p>
    <w:p>
      <w:pPr>
        <w:ind w:left="764" w:hanging="191"/>
        <w:spacing w:after="0"/>
        <w:tabs>
          <w:tab w:leader="none" w:pos="76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w:t>
      </w:r>
    </w:p>
    <w:p>
      <w:pPr>
        <w:spacing w:after="0" w:line="198" w:lineRule="exact"/>
        <w:rPr>
          <w:rFonts w:ascii="Times New Roman" w:cs="Times New Roman" w:eastAsia="Times New Roman" w:hAnsi="Times New Roman"/>
          <w:sz w:val="16"/>
          <w:szCs w:val="16"/>
          <w:color w:val="auto"/>
        </w:rPr>
      </w:pPr>
    </w:p>
    <w:p>
      <w:pPr>
        <w:ind w:left="804" w:hanging="231"/>
        <w:spacing w:after="0"/>
        <w:tabs>
          <w:tab w:leader="none" w:pos="80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free writing prospectus relating to the offering prepared by or on behalf of the undersigned registrant or used or referred to by the undersigned registrant;</w:t>
      </w:r>
    </w:p>
    <w:p>
      <w:pPr>
        <w:spacing w:after="0" w:line="198" w:lineRule="exact"/>
        <w:rPr>
          <w:rFonts w:ascii="Times New Roman" w:cs="Times New Roman" w:eastAsia="Times New Roman" w:hAnsi="Times New Roman"/>
          <w:sz w:val="16"/>
          <w:szCs w:val="16"/>
          <w:color w:val="auto"/>
        </w:rPr>
      </w:pPr>
    </w:p>
    <w:p>
      <w:pPr>
        <w:ind w:left="284" w:right="20" w:firstLine="289"/>
        <w:spacing w:after="0" w:line="280" w:lineRule="auto"/>
        <w:tabs>
          <w:tab w:leader="none" w:pos="85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4" w:lineRule="exact"/>
        <w:rPr>
          <w:rFonts w:ascii="Times New Roman" w:cs="Times New Roman" w:eastAsia="Times New Roman" w:hAnsi="Times New Roman"/>
          <w:sz w:val="16"/>
          <w:szCs w:val="16"/>
          <w:color w:val="auto"/>
        </w:rPr>
      </w:pPr>
    </w:p>
    <w:p>
      <w:pPr>
        <w:ind w:left="844" w:hanging="271"/>
        <w:spacing w:after="0"/>
        <w:tabs>
          <w:tab w:leader="none" w:pos="84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communication that is an offer in the offering made by the undersigned registrant to the purchaser.</w:t>
      </w:r>
    </w:p>
    <w:p>
      <w:pPr>
        <w:spacing w:after="0" w:line="198" w:lineRule="exact"/>
        <w:rPr>
          <w:rFonts w:ascii="Times New Roman" w:cs="Times New Roman" w:eastAsia="Times New Roman" w:hAnsi="Times New Roman"/>
          <w:sz w:val="16"/>
          <w:szCs w:val="16"/>
          <w:color w:val="auto"/>
        </w:rPr>
      </w:pPr>
    </w:p>
    <w:p>
      <w:pPr>
        <w:jc w:val="both"/>
        <w:ind w:left="4" w:hanging="4"/>
        <w:spacing w:after="0" w:line="259" w:lineRule="auto"/>
        <w:tabs>
          <w:tab w:leader="none" w:pos="23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1" w:lineRule="exact"/>
        <w:rPr>
          <w:rFonts w:ascii="Times New Roman" w:cs="Times New Roman" w:eastAsia="Times New Roman" w:hAnsi="Times New Roman"/>
          <w:sz w:val="16"/>
          <w:szCs w:val="16"/>
          <w:color w:val="auto"/>
        </w:rPr>
      </w:pPr>
    </w:p>
    <w:p>
      <w:pPr>
        <w:jc w:val="both"/>
        <w:ind w:left="4" w:right="20" w:hanging="4"/>
        <w:spacing w:after="0" w:line="254" w:lineRule="auto"/>
        <w:tabs>
          <w:tab w:leader="none" w:pos="23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5" w:name="page46"/>
    <w:bookmarkEnd w:id="45"/>
    <w:p>
      <w:pPr>
        <w:spacing w:after="0" w:line="38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5"/>
          <w:szCs w:val="15"/>
          <w:b w:val="1"/>
          <w:bCs w:val="1"/>
          <w:color w:val="auto"/>
        </w:rPr>
        <w:t>Exhibit Number</w:t>
      </w:r>
    </w:p>
    <w:p>
      <w:pPr>
        <w:ind w:left="4"/>
        <w:spacing w:after="0" w:line="194" w:lineRule="auto"/>
        <w:rPr>
          <w:sz w:val="20"/>
          <w:szCs w:val="20"/>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26"/>
          <w:szCs w:val="26"/>
          <w:color w:val="auto"/>
          <w:vertAlign w:val="superscript"/>
        </w:rPr>
        <w:t>*</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3.1</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4.1</w:t>
      </w:r>
    </w:p>
    <w:p>
      <w:pPr>
        <w:ind w:left="4"/>
        <w:spacing w:after="0" w:line="202" w:lineRule="auto"/>
        <w:rPr>
          <w:sz w:val="20"/>
          <w:szCs w:val="20"/>
          <w:color w:val="auto"/>
        </w:rPr>
      </w:pPr>
      <w:r>
        <w:rPr>
          <w:rFonts w:ascii="Times New Roman" w:cs="Times New Roman" w:eastAsia="Times New Roman" w:hAnsi="Times New Roman"/>
          <w:sz w:val="16"/>
          <w:szCs w:val="16"/>
          <w:color w:val="auto"/>
        </w:rPr>
        <w:t>4.2</w:t>
      </w:r>
      <w:r>
        <w:rPr>
          <w:rFonts w:ascii="Times New Roman" w:cs="Times New Roman" w:eastAsia="Times New Roman" w:hAnsi="Times New Roman"/>
          <w:sz w:val="26"/>
          <w:szCs w:val="26"/>
          <w:color w:val="auto"/>
          <w:vertAlign w:val="superscript"/>
        </w:rPr>
        <w:t>*</w:t>
      </w:r>
    </w:p>
    <w:p>
      <w:pPr>
        <w:ind w:left="4"/>
        <w:spacing w:after="0" w:line="182" w:lineRule="auto"/>
        <w:rPr>
          <w:sz w:val="20"/>
          <w:szCs w:val="20"/>
          <w:color w:val="auto"/>
        </w:rPr>
      </w:pPr>
      <w:r>
        <w:rPr>
          <w:rFonts w:ascii="Times New Roman" w:cs="Times New Roman" w:eastAsia="Times New Roman" w:hAnsi="Times New Roman"/>
          <w:sz w:val="16"/>
          <w:szCs w:val="16"/>
          <w:color w:val="auto"/>
        </w:rPr>
        <w:t>4.3</w:t>
      </w:r>
      <w:r>
        <w:rPr>
          <w:rFonts w:ascii="Times New Roman" w:cs="Times New Roman" w:eastAsia="Times New Roman" w:hAnsi="Times New Roman"/>
          <w:sz w:val="26"/>
          <w:szCs w:val="26"/>
          <w:color w:val="auto"/>
          <w:vertAlign w:val="superscript"/>
        </w:rPr>
        <w:t>*</w:t>
      </w:r>
    </w:p>
    <w:p>
      <w:pPr>
        <w:ind w:left="4"/>
        <w:spacing w:after="0" w:line="182" w:lineRule="auto"/>
        <w:rPr>
          <w:sz w:val="20"/>
          <w:szCs w:val="20"/>
          <w:color w:val="auto"/>
        </w:rPr>
      </w:pPr>
      <w:r>
        <w:rPr>
          <w:rFonts w:ascii="Times New Roman" w:cs="Times New Roman" w:eastAsia="Times New Roman" w:hAnsi="Times New Roman"/>
          <w:sz w:val="16"/>
          <w:szCs w:val="16"/>
          <w:color w:val="auto"/>
        </w:rPr>
        <w:t>4.4</w:t>
      </w:r>
      <w:r>
        <w:rPr>
          <w:rFonts w:ascii="Times New Roman" w:cs="Times New Roman" w:eastAsia="Times New Roman" w:hAnsi="Times New Roman"/>
          <w:sz w:val="26"/>
          <w:szCs w:val="26"/>
          <w:color w:val="auto"/>
          <w:vertAlign w:val="superscript"/>
        </w:rPr>
        <w:t>*</w:t>
      </w:r>
    </w:p>
    <w:p>
      <w:pPr>
        <w:ind w:left="4"/>
        <w:spacing w:after="0" w:line="183" w:lineRule="auto"/>
        <w:rPr>
          <w:sz w:val="20"/>
          <w:szCs w:val="20"/>
          <w:color w:val="auto"/>
        </w:rPr>
      </w:pPr>
      <w:r>
        <w:rPr>
          <w:rFonts w:ascii="Times New Roman" w:cs="Times New Roman" w:eastAsia="Times New Roman" w:hAnsi="Times New Roman"/>
          <w:sz w:val="16"/>
          <w:szCs w:val="16"/>
          <w:color w:val="auto"/>
        </w:rPr>
        <w:t>4.5</w:t>
      </w:r>
      <w:r>
        <w:rPr>
          <w:rFonts w:ascii="Times New Roman" w:cs="Times New Roman" w:eastAsia="Times New Roman" w:hAnsi="Times New Roman"/>
          <w:sz w:val="26"/>
          <w:szCs w:val="26"/>
          <w:color w:val="auto"/>
          <w:vertAlign w:val="superscript"/>
        </w:rPr>
        <w:t>*</w:t>
      </w:r>
    </w:p>
    <w:p>
      <w:pPr>
        <w:ind w:left="4"/>
        <w:spacing w:after="0" w:line="182" w:lineRule="auto"/>
        <w:rPr>
          <w:sz w:val="20"/>
          <w:szCs w:val="20"/>
          <w:color w:val="auto"/>
        </w:rPr>
      </w:pPr>
      <w:r>
        <w:rPr>
          <w:rFonts w:ascii="Times New Roman" w:cs="Times New Roman" w:eastAsia="Times New Roman" w:hAnsi="Times New Roman"/>
          <w:sz w:val="16"/>
          <w:szCs w:val="16"/>
          <w:color w:val="auto"/>
        </w:rPr>
        <w:t>4.6</w:t>
      </w:r>
      <w:r>
        <w:rPr>
          <w:rFonts w:ascii="Times New Roman" w:cs="Times New Roman" w:eastAsia="Times New Roman" w:hAnsi="Times New Roman"/>
          <w:sz w:val="26"/>
          <w:szCs w:val="26"/>
          <w:color w:val="auto"/>
          <w:vertAlign w:val="superscript"/>
        </w:rPr>
        <w:t>*</w:t>
      </w:r>
    </w:p>
    <w:p>
      <w:pPr>
        <w:ind w:left="4"/>
        <w:spacing w:after="0" w:line="182" w:lineRule="auto"/>
        <w:rPr>
          <w:sz w:val="20"/>
          <w:szCs w:val="20"/>
          <w:color w:val="auto"/>
        </w:rPr>
      </w:pPr>
      <w:r>
        <w:rPr>
          <w:rFonts w:ascii="Times New Roman" w:cs="Times New Roman" w:eastAsia="Times New Roman" w:hAnsi="Times New Roman"/>
          <w:sz w:val="16"/>
          <w:szCs w:val="16"/>
          <w:color w:val="auto"/>
        </w:rPr>
        <w:t>4.7</w:t>
      </w:r>
      <w:r>
        <w:rPr>
          <w:rFonts w:ascii="Times New Roman" w:cs="Times New Roman" w:eastAsia="Times New Roman" w:hAnsi="Times New Roman"/>
          <w:sz w:val="26"/>
          <w:szCs w:val="26"/>
          <w:color w:val="auto"/>
          <w:vertAlign w:val="superscript"/>
        </w:rPr>
        <w:t>*</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5.1*</w:t>
      </w:r>
    </w:p>
    <w:p>
      <w:pPr>
        <w:spacing w:after="0" w:line="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8.1*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8.2*</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23.1*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23.2*</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23.3*</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23.4*</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24.1</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br w:type="column"/>
      </w:r>
    </w:p>
    <w:p>
      <w:pPr>
        <w:ind w:left="398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16510</wp:posOffset>
            </wp:positionV>
            <wp:extent cx="7148195" cy="159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Underwriting Agreement</w:t>
      </w:r>
    </w:p>
    <w:p>
      <w:pPr>
        <w:spacing w:after="0" w:line="43" w:lineRule="exact"/>
        <w:rPr>
          <w:sz w:val="20"/>
          <w:szCs w:val="20"/>
          <w:color w:val="auto"/>
        </w:rPr>
      </w:pPr>
    </w:p>
    <w:p>
      <w:pPr>
        <w:spacing w:after="0" w:line="256" w:lineRule="auto"/>
        <w:rPr>
          <w:rFonts w:ascii="Times New Roman" w:cs="Times New Roman" w:eastAsia="Times New Roman" w:hAnsi="Times New Roman"/>
          <w:sz w:val="16"/>
          <w:szCs w:val="16"/>
          <w:u w:val="single" w:color="auto"/>
          <w:color w:val="0000EE"/>
        </w:rPr>
      </w:pPr>
      <w:hyperlink r:id="rId78">
        <w:r>
          <w:rPr>
            <w:rFonts w:ascii="Times New Roman" w:cs="Times New Roman" w:eastAsia="Times New Roman" w:hAnsi="Times New Roman"/>
            <w:sz w:val="16"/>
            <w:szCs w:val="16"/>
            <w:u w:val="single" w:color="auto"/>
            <w:color w:val="0000EE"/>
          </w:rPr>
          <w:t>Amended and Restated Memorandum and Articles of Association of the Registrant, adopted on April 17, 2025 and effective on May 21, 2025 (incorporated by</w:t>
        </w:r>
      </w:hyperlink>
      <w:r>
        <w:rPr>
          <w:rFonts w:ascii="Times New Roman" w:cs="Times New Roman" w:eastAsia="Times New Roman" w:hAnsi="Times New Roman"/>
          <w:sz w:val="16"/>
          <w:szCs w:val="16"/>
          <w:u w:val="single" w:color="auto"/>
          <w:color w:val="0000EE"/>
        </w:rPr>
        <w:t xml:space="preserve"> </w:t>
      </w:r>
      <w:hyperlink r:id="rId78">
        <w:r>
          <w:rPr>
            <w:rFonts w:ascii="Times New Roman" w:cs="Times New Roman" w:eastAsia="Times New Roman" w:hAnsi="Times New Roman"/>
            <w:sz w:val="16"/>
            <w:szCs w:val="16"/>
            <w:u w:val="single" w:color="auto"/>
            <w:color w:val="0000EE"/>
          </w:rPr>
          <w:t>reference to Exhibit 1.1 of our annual report on Form 20-F, filed with the Commission on April 28, 2026)</w:t>
        </w:r>
      </w:hyperlink>
      <w:r>
        <w:rPr>
          <w:rFonts w:ascii="Times New Roman" w:cs="Times New Roman" w:eastAsia="Times New Roman" w:hAnsi="Times New Roman"/>
          <w:sz w:val="16"/>
          <w:szCs w:val="16"/>
          <w:u w:val="single" w:color="auto"/>
          <w:color w:val="0000EE"/>
        </w:rPr>
        <w:t xml:space="preserve"> Registrant’s Specimen Certificate for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-120015</wp:posOffset>
            </wp:positionV>
            <wp:extent cx="7148195" cy="12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Certificate of Designation for Preferred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Registrant’s Specimen of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-105410</wp:posOffset>
            </wp:positionV>
            <wp:extent cx="7148195" cy="144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Warrant Agreement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Subscription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-105410</wp:posOffset>
            </wp:positionV>
            <wp:extent cx="7148195"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Form of Subscription Rights Certificate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-105410</wp:posOffset>
            </wp:positionV>
            <wp:extent cx="7148195" cy="144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Opinion of Maples and Calder (Hong Kong) LLP regarding the validity of the securities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15240</wp:posOffset>
            </wp:positionV>
            <wp:extent cx="7148195"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Opinion of Maples and Calder (Hong Kong) LLP regarding certain Cayman Islands tax matters (included in Exhibit 5.1)</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Opinion of Hai Run Law Firm regarding certain PRC law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4445</wp:posOffset>
            </wp:positionV>
            <wp:extent cx="7148195" cy="121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Consent of Enrome LLP, an independent registered public accounting firm</w:t>
      </w:r>
    </w:p>
    <w:p>
      <w:pPr>
        <w:spacing w:after="0" w:line="7" w:lineRule="exact"/>
        <w:rPr>
          <w:sz w:val="20"/>
          <w:szCs w:val="20"/>
          <w:color w:val="auto"/>
        </w:rPr>
      </w:pPr>
    </w:p>
    <w:p>
      <w:pPr>
        <w:ind w:right="2420"/>
        <w:spacing w:after="0" w:line="249" w:lineRule="auto"/>
        <w:rPr>
          <w:sz w:val="20"/>
          <w:szCs w:val="20"/>
          <w:color w:val="auto"/>
        </w:rPr>
      </w:pPr>
      <w:r>
        <w:rPr>
          <w:rFonts w:ascii="Times New Roman" w:cs="Times New Roman" w:eastAsia="Times New Roman" w:hAnsi="Times New Roman"/>
          <w:sz w:val="16"/>
          <w:szCs w:val="16"/>
          <w:color w:val="auto"/>
        </w:rPr>
        <w:t>Consent of Deloitte Touche Tohmatsu Certified Public Accountants LLP, an independent registered public accounting firm Consent of Maples and Calder (Hong Kong) LLP (included in Exhibit 5.1) Consent of Hai Run Law Firm (included in Exhibit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-241935</wp:posOffset>
            </wp:positionV>
            <wp:extent cx="7148195"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-649605</wp:posOffset>
            </wp:positionH>
            <wp:positionV relativeFrom="paragraph">
              <wp:posOffset>635</wp:posOffset>
            </wp:positionV>
            <wp:extent cx="7148195"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EE"/>
        </w:rPr>
        <w:t>Power of attorney (included on signature page 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Calculation of Filing Fee Table</w:t>
      </w:r>
    </w:p>
    <w:p>
      <w:pPr>
        <w:spacing w:after="0" w:line="182" w:lineRule="exact"/>
        <w:rPr>
          <w:sz w:val="20"/>
          <w:szCs w:val="20"/>
          <w:color w:val="auto"/>
        </w:rPr>
      </w:pPr>
    </w:p>
    <w:p>
      <w:pPr>
        <w:sectPr>
          <w:pgSz w:w="11900" w:h="16838" w:orient="portrait"/>
          <w:cols w:equalWidth="0" w:num="2">
            <w:col w:w="564" w:space="460"/>
            <w:col w:w="10240"/>
          </w:cols>
          <w:pgMar w:left="316" w:top="814" w:right="319" w:bottom="1440" w:gutter="0" w:footer="0" w:header="0"/>
        </w:sectPr>
      </w:pPr>
    </w:p>
    <w:p>
      <w:pPr>
        <w:ind w:left="284" w:hanging="284"/>
        <w:spacing w:after="0"/>
        <w:tabs>
          <w:tab w:leader="none" w:pos="284"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as an exhibit to an amendment to this registration statement or as an exhibit to a report filed under the Exchange Act and incorporated herein by reference.</w:t>
      </w:r>
    </w:p>
    <w:p>
      <w:pPr>
        <w:spacing w:after="0" w:line="200" w:lineRule="exact"/>
        <w:rPr>
          <w:rFonts w:ascii="Times New Roman" w:cs="Times New Roman" w:eastAsia="Times New Roman" w:hAnsi="Times New Roman"/>
          <w:sz w:val="15"/>
          <w:szCs w:val="15"/>
          <w:color w:val="auto"/>
        </w:rPr>
      </w:pPr>
    </w:p>
    <w:p>
      <w:pPr>
        <w:spacing w:after="0" w:line="201" w:lineRule="exact"/>
        <w:rPr>
          <w:rFonts w:ascii="Times New Roman" w:cs="Times New Roman" w:eastAsia="Times New Roman" w:hAnsi="Times New Roman"/>
          <w:sz w:val="15"/>
          <w:szCs w:val="15"/>
          <w:color w:val="auto"/>
        </w:rPr>
      </w:pPr>
    </w:p>
    <w:p>
      <w:pPr>
        <w:ind w:left="5504"/>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registrant certifies that it has reasonable grounds to believe that it meets all of the requirements</w:t>
      </w:r>
    </w:p>
    <w:p>
      <w:pPr>
        <w:spacing w:after="0" w:line="2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6"/>
          <w:szCs w:val="16"/>
          <w:color w:val="auto"/>
        </w:rPr>
        <w:t>for filing on Form F-3 and has duly caused this registration statement to be signed on its behalf by the undersigned, thereunto duly authorized, in Shenzhen, China on , 2026.</w:t>
      </w: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AIFU Inc.</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Mingxiu Luan</w:t>
      </w:r>
    </w:p>
    <w:p>
      <w:pPr>
        <w:spacing w:after="0" w:line="3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jc w:val="both"/>
        <w:ind w:firstLine="287"/>
        <w:spacing w:after="0" w:line="253"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hereby constitutes and appoints each of Mingxiu Luan and Huaguang Huang as his true and lawful attorneys-in-fact and agents, each with full power of substitution and re-substitution, for him and in his name, place and stead, in any and all capacities, to sign any and all amendments (including post-effective amendments) to this registration statement and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each such person might or could do in person, hereby ratifying and confirming all that said attorneys-in-fact and agents, or any of them, or their or his substitutes or substitutes, may lawfully do or cause to be done by virtue hereof.</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1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as amended, the registration statement has been signed by the following persons on</w:t>
            </w:r>
          </w:p>
        </w:tc>
        <w:tc>
          <w:tcPr>
            <w:tcW w:w="1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2026 in the</w:t>
            </w:r>
          </w:p>
        </w:tc>
      </w:tr>
      <w:tr>
        <w:trPr>
          <w:trHeight w:val="208"/>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capacities indicated.</w:t>
            </w:r>
          </w:p>
        </w:tc>
        <w:tc>
          <w:tcPr>
            <w:tcW w:w="1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86"/>
        </w:trPr>
        <w:tc>
          <w:tcPr>
            <w:tcW w:w="5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100" w:type="dxa"/>
            <w:vAlign w:val="bottom"/>
          </w:tcPr>
          <w:p>
            <w:pPr>
              <w:spacing w:after="0"/>
              <w:rPr>
                <w:sz w:val="24"/>
                <w:szCs w:val="24"/>
                <w:color w:val="auto"/>
              </w:rPr>
            </w:pPr>
          </w:p>
        </w:tc>
        <w:tc>
          <w:tcPr>
            <w:tcW w:w="4420" w:type="dxa"/>
            <w:vAlign w:val="bottom"/>
            <w:tcBorders>
              <w:bottom w:val="single" w:sz="8" w:color="auto"/>
            </w:tcBorders>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100" w:type="dxa"/>
            <w:vAlign w:val="bottom"/>
            <w:tcBorders>
              <w:bottom w:val="single" w:sz="8" w:color="auto"/>
            </w:tcBorders>
          </w:tcPr>
          <w:p>
            <w:pPr>
              <w:spacing w:after="0"/>
              <w:rPr>
                <w:sz w:val="24"/>
                <w:szCs w:val="24"/>
                <w:color w:val="auto"/>
              </w:rPr>
            </w:pPr>
          </w:p>
        </w:tc>
      </w:tr>
      <w:tr>
        <w:trPr>
          <w:trHeight w:val="386"/>
        </w:trPr>
        <w:tc>
          <w:tcPr>
            <w:tcW w:w="5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Chief Executive Officer and Vice-Chairperson of the Board of Directors</w:t>
            </w:r>
          </w:p>
        </w:tc>
      </w:tr>
      <w:tr>
        <w:trPr>
          <w:trHeight w:val="208"/>
        </w:trPr>
        <w:tc>
          <w:tcPr>
            <w:tcW w:w="5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Name: Mingxiu Luan</w:t>
            </w:r>
          </w:p>
        </w:tc>
        <w:tc>
          <w:tcPr>
            <w:tcW w:w="100" w:type="dxa"/>
            <w:vAlign w:val="bottom"/>
          </w:tcPr>
          <w:p>
            <w:pPr>
              <w:spacing w:after="0"/>
              <w:rPr>
                <w:sz w:val="18"/>
                <w:szCs w:val="18"/>
                <w:color w:val="auto"/>
              </w:rPr>
            </w:pPr>
          </w:p>
        </w:tc>
        <w:tc>
          <w:tcPr>
            <w:tcW w:w="4420" w:type="dxa"/>
            <w:vAlign w:val="bottom"/>
          </w:tcPr>
          <w:p>
            <w:pPr>
              <w:jc w:val="center"/>
              <w:ind w:left="1020"/>
              <w:spacing w:after="0"/>
              <w:rPr>
                <w:sz w:val="20"/>
                <w:szCs w:val="20"/>
                <w:color w:val="auto"/>
              </w:rPr>
            </w:pPr>
            <w:r>
              <w:rPr>
                <w:rFonts w:ascii="Times New Roman" w:cs="Times New Roman" w:eastAsia="Times New Roman" w:hAnsi="Times New Roman"/>
                <w:sz w:val="16"/>
                <w:szCs w:val="16"/>
                <w:color w:val="auto"/>
                <w:w w:val="98"/>
              </w:rPr>
              <w:t>(Principal Executive Officer)</w:t>
            </w:r>
          </w:p>
        </w:tc>
        <w:tc>
          <w:tcPr>
            <w:tcW w:w="1100" w:type="dxa"/>
            <w:vAlign w:val="bottom"/>
          </w:tcPr>
          <w:p>
            <w:pPr>
              <w:spacing w:after="0"/>
              <w:rPr>
                <w:sz w:val="18"/>
                <w:szCs w:val="18"/>
                <w:color w:val="auto"/>
              </w:rPr>
            </w:pPr>
          </w:p>
        </w:tc>
      </w:tr>
      <w:tr>
        <w:trPr>
          <w:trHeight w:val="370"/>
        </w:trPr>
        <w:tc>
          <w:tcPr>
            <w:tcW w:w="5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20" w:type="dxa"/>
            <w:vAlign w:val="bottom"/>
          </w:tcPr>
          <w:p>
            <w:pPr>
              <w:jc w:val="center"/>
              <w:ind w:left="1020"/>
              <w:spacing w:after="0"/>
              <w:rPr>
                <w:sz w:val="20"/>
                <w:szCs w:val="20"/>
                <w:color w:val="auto"/>
              </w:rPr>
            </w:pPr>
            <w:r>
              <w:rPr>
                <w:rFonts w:ascii="Times New Roman" w:cs="Times New Roman" w:eastAsia="Times New Roman" w:hAnsi="Times New Roman"/>
                <w:sz w:val="16"/>
                <w:szCs w:val="16"/>
                <w:color w:val="auto"/>
                <w:w w:val="99"/>
              </w:rPr>
              <w:t>Chief Financial Officer</w:t>
            </w:r>
          </w:p>
        </w:tc>
        <w:tc>
          <w:tcPr>
            <w:tcW w:w="1100" w:type="dxa"/>
            <w:vAlign w:val="bottom"/>
          </w:tcPr>
          <w:p>
            <w:pPr>
              <w:spacing w:after="0"/>
              <w:rPr>
                <w:sz w:val="24"/>
                <w:szCs w:val="24"/>
                <w:color w:val="auto"/>
              </w:rPr>
            </w:pPr>
          </w:p>
        </w:tc>
      </w:tr>
      <w:tr>
        <w:trPr>
          <w:trHeight w:val="208"/>
        </w:trPr>
        <w:tc>
          <w:tcPr>
            <w:tcW w:w="5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Name: Huaguang Huang</w:t>
            </w:r>
          </w:p>
        </w:tc>
        <w:tc>
          <w:tcPr>
            <w:tcW w:w="100" w:type="dxa"/>
            <w:vAlign w:val="bottom"/>
          </w:tcPr>
          <w:p>
            <w:pPr>
              <w:spacing w:after="0"/>
              <w:rPr>
                <w:sz w:val="18"/>
                <w:szCs w:val="18"/>
                <w:color w:val="auto"/>
              </w:rPr>
            </w:pPr>
          </w:p>
        </w:tc>
        <w:tc>
          <w:tcPr>
            <w:tcW w:w="4420" w:type="dxa"/>
            <w:vAlign w:val="bottom"/>
          </w:tcPr>
          <w:p>
            <w:pPr>
              <w:jc w:val="center"/>
              <w:ind w:left="1000"/>
              <w:spacing w:after="0"/>
              <w:rPr>
                <w:sz w:val="20"/>
                <w:szCs w:val="20"/>
                <w:color w:val="auto"/>
              </w:rPr>
            </w:pPr>
            <w:r>
              <w:rPr>
                <w:rFonts w:ascii="Times New Roman" w:cs="Times New Roman" w:eastAsia="Times New Roman" w:hAnsi="Times New Roman"/>
                <w:sz w:val="16"/>
                <w:szCs w:val="16"/>
                <w:color w:val="auto"/>
                <w:w w:val="99"/>
              </w:rPr>
              <w:t>(Principal Financial and Accounting Officer)</w:t>
            </w:r>
          </w:p>
        </w:tc>
        <w:tc>
          <w:tcPr>
            <w:tcW w:w="1100" w:type="dxa"/>
            <w:vAlign w:val="bottom"/>
          </w:tcPr>
          <w:p>
            <w:pPr>
              <w:spacing w:after="0"/>
              <w:rPr>
                <w:sz w:val="18"/>
                <w:szCs w:val="18"/>
                <w:color w:val="auto"/>
              </w:rPr>
            </w:pPr>
          </w:p>
        </w:tc>
      </w:tr>
    </w:tbl>
    <w:p>
      <w:pPr>
        <w:spacing w:after="0" w:line="15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58140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581400" cy="15240"/>
                    </a:xfrm>
                    <a:prstGeom prst="rect">
                      <a:avLst/>
                    </a:prstGeom>
                    <a:noFill/>
                  </pic:spPr>
                </pic:pic>
              </a:graphicData>
            </a:graphic>
          </wp:anchor>
        </w:drawing>
      </w:r>
    </w:p>
    <w:p>
      <w:pPr>
        <w:spacing w:after="0" w:line="1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color w:val="auto"/>
        </w:rPr>
        <w:t>Name: Kunlin Li</w:t>
      </w:r>
    </w:p>
    <w:p>
      <w:pPr>
        <w:spacing w:after="0" w:line="19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58140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581400" cy="15240"/>
                    </a:xfrm>
                    <a:prstGeom prst="rect">
                      <a:avLst/>
                    </a:prstGeom>
                    <a:noFill/>
                  </pic:spPr>
                </pic:pic>
              </a:graphicData>
            </a:graphic>
          </wp:anchor>
        </w:drawing>
      </w:r>
    </w:p>
    <w:p>
      <w:pPr>
        <w:spacing w:after="0" w:line="1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6"/>
          <w:szCs w:val="16"/>
          <w:color w:val="auto"/>
        </w:rPr>
        <w:t>Name: Changfu Li</w:t>
      </w:r>
    </w:p>
    <w:p>
      <w:pPr>
        <w:spacing w:after="0" w:line="19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6"/>
          <w:szCs w:val="16"/>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58140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581400" cy="15240"/>
                    </a:xfrm>
                    <a:prstGeom prst="rect">
                      <a:avLst/>
                    </a:prstGeom>
                    <a:noFill/>
                  </pic:spPr>
                </pic:pic>
              </a:graphicData>
            </a:graphic>
          </wp:anchor>
        </w:drawing>
      </w:r>
    </w:p>
    <w:p>
      <w:pPr>
        <w:spacing w:after="0" w:line="1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6"/>
          <w:szCs w:val="16"/>
          <w:color w:val="auto"/>
        </w:rPr>
        <w:t>Name: Jianyun Ye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7" w:name="page48"/>
    <w:bookmarkEnd w:id="4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SIGNATURE OF AUTHORIZED REPRESENTATIVE OF THE REGISTRANT</w:t>
      </w:r>
    </w:p>
    <w:p>
      <w:pPr>
        <w:spacing w:after="0" w:line="2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Pursuant to the Securities Act of 1933, as amended, the undersigned, the duly authorized representative in the United States of AIFU Inc. has signed this registration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statement or amendment thereto in New York, New York on</w:t>
            </w:r>
          </w:p>
        </w:tc>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2026.</w:t>
            </w:r>
          </w:p>
        </w:tc>
        <w:tc>
          <w:tcPr>
            <w:tcW w:w="3940" w:type="dxa"/>
            <w:vAlign w:val="bottom"/>
          </w:tcPr>
          <w:p>
            <w:pPr>
              <w:spacing w:after="0"/>
              <w:rPr>
                <w:sz w:val="18"/>
                <w:szCs w:val="18"/>
                <w:color w:val="auto"/>
              </w:rPr>
            </w:pPr>
          </w:p>
        </w:tc>
      </w:tr>
      <w:tr>
        <w:trPr>
          <w:trHeight w:val="366"/>
        </w:trPr>
        <w:tc>
          <w:tcPr>
            <w:tcW w:w="4020" w:type="dxa"/>
            <w:vAlign w:val="bottom"/>
          </w:tcPr>
          <w:p>
            <w:pPr>
              <w:spacing w:after="0"/>
              <w:rPr>
                <w:sz w:val="24"/>
                <w:szCs w:val="24"/>
                <w:color w:val="auto"/>
              </w:rPr>
            </w:pPr>
          </w:p>
        </w:tc>
        <w:tc>
          <w:tcPr>
            <w:tcW w:w="72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Authorized U.S. Representative</w:t>
            </w:r>
          </w:p>
        </w:tc>
      </w:tr>
      <w:tr>
        <w:trPr>
          <w:trHeight w:val="382"/>
        </w:trPr>
        <w:tc>
          <w:tcPr>
            <w:tcW w:w="4020" w:type="dxa"/>
            <w:vAlign w:val="bottom"/>
          </w:tcPr>
          <w:p>
            <w:pPr>
              <w:spacing w:after="0"/>
              <w:rPr>
                <w:sz w:val="24"/>
                <w:szCs w:val="24"/>
                <w:color w:val="auto"/>
              </w:rPr>
            </w:pPr>
          </w:p>
        </w:tc>
        <w:tc>
          <w:tcPr>
            <w:tcW w:w="7240" w:type="dxa"/>
            <w:vAlign w:val="bottom"/>
            <w:gridSpan w:val="2"/>
          </w:tcPr>
          <w:p>
            <w:pPr>
              <w:ind w:left="2740"/>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386"/>
        </w:trPr>
        <w:tc>
          <w:tcPr>
            <w:tcW w:w="4020" w:type="dxa"/>
            <w:vAlign w:val="bottom"/>
          </w:tcPr>
          <w:p>
            <w:pPr>
              <w:spacing w:after="0"/>
              <w:rPr>
                <w:sz w:val="24"/>
                <w:szCs w:val="24"/>
                <w:color w:val="auto"/>
              </w:rPr>
            </w:pPr>
          </w:p>
        </w:tc>
        <w:tc>
          <w:tcPr>
            <w:tcW w:w="72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By:</w:t>
            </w:r>
          </w:p>
        </w:tc>
      </w:tr>
      <w:tr>
        <w:trPr>
          <w:trHeight w:val="175"/>
        </w:trPr>
        <w:tc>
          <w:tcPr>
            <w:tcW w:w="4020" w:type="dxa"/>
            <w:vAlign w:val="bottom"/>
          </w:tcPr>
          <w:p>
            <w:pPr>
              <w:spacing w:after="0"/>
              <w:rPr>
                <w:sz w:val="15"/>
                <w:szCs w:val="15"/>
                <w:color w:val="auto"/>
              </w:rPr>
            </w:pPr>
          </w:p>
        </w:tc>
        <w:tc>
          <w:tcPr>
            <w:tcW w:w="3300" w:type="dxa"/>
            <w:vAlign w:val="bottom"/>
          </w:tcPr>
          <w:p>
            <w:pPr>
              <w:ind w:left="274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Borders>
              <w:top w:val="single" w:sz="8" w:color="auto"/>
            </w:tcBorders>
          </w:tcPr>
          <w:p>
            <w:pPr>
              <w:spacing w:after="0"/>
              <w:rPr>
                <w:sz w:val="15"/>
                <w:szCs w:val="15"/>
                <w:color w:val="auto"/>
              </w:rPr>
            </w:pPr>
          </w:p>
        </w:tc>
      </w:tr>
      <w:tr>
        <w:trPr>
          <w:trHeight w:val="208"/>
        </w:trPr>
        <w:tc>
          <w:tcPr>
            <w:tcW w:w="4020" w:type="dxa"/>
            <w:vAlign w:val="bottom"/>
          </w:tcPr>
          <w:p>
            <w:pPr>
              <w:spacing w:after="0"/>
              <w:rPr>
                <w:sz w:val="18"/>
                <w:szCs w:val="18"/>
                <w:color w:val="auto"/>
              </w:rPr>
            </w:pPr>
          </w:p>
        </w:tc>
        <w:tc>
          <w:tcPr>
            <w:tcW w:w="7240" w:type="dxa"/>
            <w:vAlign w:val="bottom"/>
            <w:gridSpan w:val="2"/>
          </w:tcPr>
          <w:p>
            <w:pPr>
              <w:ind w:left="2740"/>
              <w:spacing w:after="0"/>
              <w:rPr>
                <w:sz w:val="20"/>
                <w:szCs w:val="20"/>
                <w:color w:val="auto"/>
              </w:rPr>
            </w:pPr>
            <w:r>
              <w:rPr>
                <w:rFonts w:ascii="Times New Roman" w:cs="Times New Roman" w:eastAsia="Times New Roman" w:hAnsi="Times New Roman"/>
                <w:sz w:val="16"/>
                <w:szCs w:val="16"/>
                <w:color w:val="auto"/>
              </w:rPr>
              <w:t>Title:</w:t>
            </w:r>
          </w:p>
        </w:tc>
      </w:tr>
      <w:tr>
        <w:trPr>
          <w:trHeight w:val="577"/>
        </w:trPr>
        <w:tc>
          <w:tcPr>
            <w:tcW w:w="402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gridSpan w:val="2"/>
          </w:tcPr>
          <w:p>
            <w:pPr>
              <w:ind w:left="1480"/>
              <w:spacing w:after="0"/>
              <w:rPr>
                <w:sz w:val="20"/>
                <w:szCs w:val="20"/>
                <w:color w:val="auto"/>
              </w:rPr>
            </w:pPr>
            <w:r>
              <w:rPr>
                <w:rFonts w:ascii="Times New Roman" w:cs="Times New Roman" w:eastAsia="Times New Roman" w:hAnsi="Times New Roman"/>
                <w:sz w:val="16"/>
                <w:szCs w:val="16"/>
                <w:color w:val="auto"/>
              </w:rPr>
              <w:t>II-6</w:t>
            </w:r>
          </w:p>
        </w:tc>
      </w:tr>
    </w:tbl>
    <w:p>
      <w:pPr>
        <w:sectPr>
          <w:pgSz w:w="11900" w:h="16838" w:orient="portrait"/>
          <w:cols w:equalWidth="0" w:num="1">
            <w:col w:w="11260"/>
          </w:cols>
          <w:pgMar w:left="320" w:top="814" w:right="319" w:bottom="1440" w:gutter="0" w:footer="0" w:header="0"/>
        </w:sectPr>
      </w:pPr>
    </w:p>
    <w:bookmarkStart w:id="48" w:name="page49"/>
    <w:bookmarkEnd w:id="48"/>
    <w:p>
      <w:pPr>
        <w:ind w:left="9240"/>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53041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203440" cy="5304155"/>
                    </a:xfrm>
                    <a:prstGeom prst="rect">
                      <a:avLst/>
                    </a:prstGeom>
                    <a:noFill/>
                  </pic:spPr>
                </pic:pic>
              </a:graphicData>
            </a:graphic>
          </wp:anchor>
        </w:drawing>
      </w:r>
    </w:p>
    <w:sectPr>
      <w:pgSz w:w="11900" w:h="16838" w:orient="portrait"/>
      <w:cols w:equalWidth="0" w:num="1">
        <w:col w:w="10140"/>
      </w:cols>
      <w:pgMar w:left="1440" w:top="11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lvl w:ilvl="1">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6CEAF087"/>
    <w:multiLevelType w:val="hybridMultilevel"/>
    <w:lvl w:ilvl="0">
      <w:lvlJc w:val="left"/>
      <w:lvlText w:val="(%1)"/>
      <w:numFmt w:val="lowerRoman"/>
      <w:start w:val="3"/>
    </w:lvl>
    <w:lvl w:ilvl="1">
      <w:lvlJc w:val="left"/>
      <w:lvlText w:val="(%2)"/>
      <w:numFmt w:val="lowerRoman"/>
      <w:start w:val="4"/>
    </w:lvl>
  </w:abstractNum>
  <w:abstractNum w:abstractNumId="30">
    <w:nsid w:val="22221A70"/>
    <w:multiLevelType w:val="hybridMultilevel"/>
    <w:lvl w:ilvl="0">
      <w:lvlJc w:val="left"/>
      <w:lvlText w:val="(%1)"/>
      <w:numFmt w:val="decimal"/>
      <w:start w:val="2"/>
    </w:lvl>
    <w:lvl w:ilvl="1">
      <w:lvlJc w:val="left"/>
      <w:lvlText w:val="(%2)"/>
      <w:numFmt w:val="lowerRoman"/>
      <w:start w:val="1"/>
    </w:lvl>
  </w:abstractNum>
  <w:abstractNum w:abstractNumId="31">
    <w:nsid w:val="4516DDE9"/>
    <w:multiLevelType w:val="hybridMultilevel"/>
    <w:lvl w:ilvl="0">
      <w:lvlJc w:val="left"/>
      <w:lvlText w:val="%1"/>
      <w:numFmt w:val="lowerLetter"/>
      <w:start w:val="1"/>
    </w:lvl>
    <w:lvl w:ilvl="1">
      <w:lvlJc w:val="left"/>
      <w:lvlText w:val="(%2)"/>
      <w:numFmt w:val="lowerRoman"/>
      <w:start w:val="1"/>
    </w:lvl>
  </w:abstractNum>
  <w:abstractNum w:abstractNumId="32">
    <w:nsid w:val="3006C83E"/>
    <w:multiLevelType w:val="hybridMultilevel"/>
    <w:lvl w:ilvl="0">
      <w:lvlJc w:val="left"/>
      <w:lvlText w:val="(%1)"/>
      <w:numFmt w:val="lowerLetter"/>
      <w:start w:val="2"/>
    </w:lvl>
    <w:lvl w:ilvl="1">
      <w:lvlJc w:val="left"/>
      <w:lvlText w:val="%2"/>
      <w:numFmt w:val="lowerRoman"/>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jpeg"/><Relationship Id="rId70" Type="http://schemas.openxmlformats.org/officeDocument/2006/relationships/hyperlink" Target="https://www.sec.gov/ix?doc=/Archives/edgar/data/1413855/000121390026048631/ea0286621-20f_aifu.htm" TargetMode="External"/><Relationship Id="rId71" Type="http://schemas.openxmlformats.org/officeDocument/2006/relationships/hyperlink" Target="https://www.sec.gov/Archives/edgar/data/1413855/000121390026048811/ea0288191-6k_aifu.htm" TargetMode="External"/><Relationship Id="rId72" Type="http://schemas.openxmlformats.org/officeDocument/2006/relationships/hyperlink" Target="https://www.sec.gov/Archives/edgar/data/1413855/000119312507225513/d8a12b.htm" TargetMode="External"/><Relationship Id="rId78" Type="http://schemas.openxmlformats.org/officeDocument/2006/relationships/hyperlink" Target="http://www.sec.gov/Archives/edgar/data/1413855/000121390026048631/ea028662101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2026-05-26T23:51:18Z</dcterms:created>
  <dcterms:modified xsi:type="dcterms:W3CDTF">2026-05-26T23:51:18Z</dcterms:modified>
</cp:coreProperties>
</file>