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936-6k_aifu.htm"/>
      <w:bookmarkStart w:id="1" w:name="ksea03049366k_aifu"/>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01, Building 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br/>
        <w:t>Shenzhen, 518055</w:t>
        <w:br/>
        <w:t>People’s Republic of China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Agreement for Issuance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AIFU Inc. (“AIFU” or the “Company”) entered into a share subscription agreement (the “Agreement”) with Expansion Group Ltd. (“Expansion”), pursuant to which Expansion will subscribe for 10,000,000 Class B ordinary shares of the Company (the “Shares”, each “a Share”), at a price of US$0.002 per Share, which is the par value of the Class B ordinary share, for a total consideration of US$20,000 (the “</w:t>
      </w:r>
      <w:r>
        <w:rPr>
          <w:rFonts w:ascii="Times New Roman;Times;Serif" w:hAnsi="Times New Roman;Times;Serif"/>
          <w:b/>
          <w:i w:val="false"/>
          <w:caps w:val="false"/>
          <w:smallCaps w:val="false"/>
          <w:sz w:val="20"/>
        </w:rPr>
        <w:t>Issuance</w:t>
      </w:r>
      <w:r>
        <w:rPr>
          <w:rFonts w:ascii="Times New Roman;Times;Serif" w:hAnsi="Times New Roman;Times;Serif"/>
          <w:b w:val="false"/>
          <w:i w:val="false"/>
          <w:caps w:val="false"/>
          <w:smallCaps w:val="false"/>
          <w:sz w:val="20"/>
        </w:rPr>
        <w:t>”). The gross proceeds to the Company from such transaction will be used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is expected to be completed by the end of September 2026, s</w:t>
      </w:r>
      <w:r>
        <w:rPr>
          <w:rFonts w:ascii="Times New Roman;Times;Serif" w:hAnsi="Times New Roman;Times;Serif"/>
          <w:b w:val="false"/>
          <w:i w:val="false"/>
          <w:caps w:val="false"/>
          <w:smallCaps w:val="false"/>
          <w:sz w:val="20"/>
          <w:shd w:fill="FFFFFF" w:val="clear"/>
        </w:rPr>
        <w:t>ubject 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satisfaction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of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customary</w:t>
      </w:r>
      <w:r>
        <w:rPr>
          <w:rFonts w:ascii="Times New Roman;Times;Serif" w:hAnsi="Times New Roman;Times;Serif"/>
          <w:b w:val="false"/>
          <w:i w:val="false"/>
          <w:caps w:val="false"/>
          <w:smallCaps w:val="false"/>
          <w:sz w:val="20"/>
        </w:rPr>
        <w:t> closing </w:t>
      </w:r>
      <w:r>
        <w:rPr>
          <w:rFonts w:ascii="Times New Roman;Times;Serif" w:hAnsi="Times New Roman;Times;Serif"/>
          <w:b w:val="false"/>
          <w:i w:val="false"/>
          <w:caps w:val="false"/>
          <w:smallCaps w:val="false"/>
          <w:sz w:val="20"/>
          <w:shd w:fill="FFFFFF" w:val="clear"/>
        </w:rPr>
        <w:t>conditions</w:t>
      </w:r>
      <w:r>
        <w:rPr>
          <w:rFonts w:ascii="Times New Roman;Times;Serif" w:hAnsi="Times New Roman;Times;Serif"/>
          <w:b w:val="false"/>
          <w:i w:val="false"/>
          <w:caps w:val="false"/>
          <w:smallCaps w:val="false"/>
          <w:sz w:val="20"/>
        </w:rPr>
        <w:t>. Expansion currently owns 13 Class A ordinary shares and 250,000 Class B ordinary shares of the Company. Following the Issuance, Expansion will beneficially own 13 Class A ordinary shares and 10,250,000 Class B ordinary shares of the Company, representing 63.37% of the total issued and outstanding ordinary shares of the Company, and 99.43% of the aggregate voting power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Share Subscription Agreement does not purport to describe all terms and conditions thereof and is qualified in its entirety by reference to the form of Share Subscription Agreement which is filed as Exhibits 10.1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4"/>
        <w:gridCol w:w="60"/>
        <w:gridCol w:w="9451"/>
      </w:tblGrid>
      <w:tr>
        <w:trPr/>
        <w:tc>
          <w:tcPr>
            <w:tcW w:w="694"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451"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Desciption</w:t>
            </w:r>
          </w:p>
        </w:tc>
      </w:tr>
      <w:tr>
        <w:trPr/>
        <w:tc>
          <w:tcPr>
            <w:tcW w:w="69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51" w:type="dxa"/>
            <w:tcBorders/>
            <w:shd w:fill="CCEEFF" w:val="clear"/>
            <w:tcMar>
              <w:bottom w:w="0" w:type="dxa"/>
            </w:tcMar>
            <w:vAlign w:val="center"/>
          </w:tcPr>
          <w:p>
            <w:pPr>
              <w:pStyle w:val="TableContents"/>
              <w:bidi w:val="0"/>
              <w:spacing w:before="0" w:after="283"/>
              <w:jc w:val="both"/>
              <w:rPr/>
            </w:pPr>
            <w:hyperlink w:anchor="ea030493601ex10-1.htm">
              <w:r>
                <w:rPr>
                  <w:rStyle w:val="InternetLink"/>
                  <w:rFonts w:ascii="Times New Roman;Times;Serif" w:hAnsi="Times New Roman;Times;Serif"/>
                  <w:sz w:val="20"/>
                </w:rPr>
                <w:t>Form of Share Subscription Agreement made between AIFU Inc. and Expansion Group Ltd dated on September 9,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AIFU Inc.</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Mingxiu Luan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Mingxiu Luan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bookmarkStart w:id="2" w:name="ea030493601ex10-1.htm"/>
      <w:bookmarkStart w:id="3" w:name="ksea0304936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SUBSCRIPTION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September 9, 2026 between the following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(1)</w:t>
            </w:r>
          </w:p>
        </w:tc>
        <w:tc>
          <w:tcPr>
            <w:tcW w:w="9899" w:type="dxa"/>
            <w:tcBorders/>
            <w:vAlign w:val="center"/>
          </w:tcPr>
          <w:p>
            <w:pPr>
              <w:pStyle w:val="TableContents"/>
              <w:bidi w:val="0"/>
              <w:spacing w:before="0" w:after="283"/>
              <w:jc w:val="both"/>
              <w:rPr/>
            </w:pPr>
            <w:r>
              <w:rPr/>
              <w:t>Expansion Group Ltd, a company duly incorporated and validly existing under the laws of the British Virgin Islands (the “</w:t>
            </w:r>
            <w:r>
              <w:rPr>
                <w:b/>
              </w:rPr>
              <w:t>Subscriber</w:t>
            </w:r>
            <w:r>
              <w:rPr/>
              <w:t>”); and</w:t>
            </w:r>
          </w:p>
        </w:tc>
      </w:tr>
    </w:tbl>
    <w:p>
      <w:pPr>
        <w:pStyle w:val="TextBody"/>
        <w:bidi w:val="0"/>
        <w:spacing w:before="0" w:after="0"/>
        <w:ind w:left="8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both"/>
              <w:rPr/>
            </w:pPr>
            <w:r>
              <w:rPr/>
              <w:t>AIFU Inc., an exempt company with limited liability incorporated under the laws of Cayman Islands (Nasdaq: AIFU) (the “</w:t>
            </w:r>
            <w:r>
              <w:rPr>
                <w:b/>
              </w:rPr>
              <w:t>Company</w:t>
            </w: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and the Company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0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2765" w:type="dxa"/>
            <w:tcBorders/>
            <w:vAlign w:val="center"/>
          </w:tcPr>
          <w:p>
            <w:pPr>
              <w:pStyle w:val="TableContents"/>
              <w:bidi w:val="0"/>
              <w:spacing w:before="0" w:after="283"/>
              <w:jc w:val="both"/>
              <w:rPr>
                <w:b/>
              </w:rPr>
            </w:pPr>
            <w:r>
              <w:rPr>
                <w:b/>
              </w:rPr>
              <w:t>SHARE SUBSCRIPTION</w:t>
            </w:r>
          </w:p>
        </w:tc>
      </w:tr>
    </w:tbl>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Subject to the terms and conditions of this Agreement, the Company shall issue to the Subscriber and the Subscriber shall subscribe from the Company, all of the title and interest in and to 10,000,000 Class B ordinary shares of par value of US$0.002 each in the share capital of the Company (the “</w:t>
      </w:r>
      <w:r>
        <w:rPr>
          <w:rFonts w:ascii="Times New Roman;Times;Serif" w:hAnsi="Times New Roman;Times;Serif"/>
          <w:b/>
          <w:i w:val="false"/>
          <w:caps w:val="false"/>
          <w:smallCaps w:val="false"/>
          <w:sz w:val="20"/>
        </w:rPr>
        <w:t>Subscription Shares</w:t>
      </w:r>
      <w:r>
        <w:rPr>
          <w:rFonts w:ascii="Times New Roman;Times;Serif" w:hAnsi="Times New Roman;Times;Serif"/>
          <w:b w:val="false"/>
          <w:i w:val="false"/>
          <w:caps w:val="false"/>
          <w:smallCaps w:val="false"/>
          <w:sz w:val="20"/>
        </w:rPr>
        <w:t>”), together with all rights, privilege and restrictions now and hereafter attaching thereto, with the consideration as set forth in Clause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At the Closing, (i) the Subscriber shall deliver the Purchase Price as defined in Section 3.1 to the Company by wire transfer in immediately available funds, and (ii) the Company shall deliver or cause to be delivered to the Subscriber one or more certificates in definitive form for the Subscription Shares, in such denomination or denominations and registered in such name or names (each, a “Designated Party”) as the Subscriber requests upon notice to the Company at least two Business Days prior to the Closing Date.</w:t>
      </w:r>
    </w:p>
    <w:p>
      <w:pPr>
        <w:pStyle w:val="TextBody"/>
        <w:bidi w:val="0"/>
        <w:spacing w:before="0" w:after="0"/>
        <w:ind w:left="0" w:right="0" w:firstLine="36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3050" w:type="dxa"/>
            <w:tcBorders/>
            <w:vAlign w:val="center"/>
          </w:tcPr>
          <w:p>
            <w:pPr>
              <w:pStyle w:val="TableContents"/>
              <w:bidi w:val="0"/>
              <w:spacing w:before="0" w:after="283"/>
              <w:jc w:val="both"/>
              <w:rPr>
                <w:b/>
              </w:rPr>
            </w:pPr>
            <w:r>
              <w:rPr>
                <w:b/>
              </w:rPr>
              <w:t>CONDITION PRECEDENT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Payment of the consideration for the Subscription Shares by the Subscriber shall be conditional upon the completion of the issuance and allotment of the Subscription Shares to the Subscriber in accordance with Clause 1 (“</w:t>
      </w:r>
      <w:r>
        <w:rPr>
          <w:rFonts w:ascii="Times New Roman;Times;Serif" w:hAnsi="Times New Roman;Times;Serif"/>
          <w:b/>
          <w:i w:val="false"/>
          <w:caps w:val="false"/>
          <w:smallCaps w:val="false"/>
          <w:sz w:val="20"/>
        </w:rPr>
        <w:t>Condition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0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2120" w:type="dxa"/>
            <w:tcBorders/>
            <w:vAlign w:val="center"/>
          </w:tcPr>
          <w:p>
            <w:pPr>
              <w:pStyle w:val="TableContents"/>
              <w:bidi w:val="0"/>
              <w:spacing w:before="0" w:after="283"/>
              <w:jc w:val="both"/>
              <w:rPr>
                <w:b/>
              </w:rPr>
            </w:pPr>
            <w:r>
              <w:rPr>
                <w:b/>
              </w:rPr>
              <w:t>CONSIDERATION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The Parties agree that the total consideration of the Subscription Shares shall be US$0.002 per Subscription Share and US$20,000 </w:t>
      </w:r>
      <w:r>
        <w:rPr>
          <w:rFonts w:ascii="Times New Roman;Times;Serif" w:hAnsi="Times New Roman;Times;Serif"/>
          <w:b/>
          <w:i w:val="false"/>
          <w:caps w:val="false"/>
          <w:smallCaps w:val="false"/>
          <w:sz w:val="20"/>
        </w:rPr>
        <w:t xml:space="preserve">(“Purchase Price”) </w:t>
      </w:r>
      <w:r>
        <w:rPr>
          <w:rFonts w:ascii="Times New Roman;Times;Serif" w:hAnsi="Times New Roman;Times;Serif"/>
          <w:b w:val="false"/>
          <w:i w:val="false"/>
          <w:caps w:val="false"/>
          <w:smallCaps w:val="false"/>
          <w:sz w:val="20"/>
        </w:rPr>
        <w:t>in total payable by the Subscriber to a bank account designated by the Company. Any bank charges and currency conversion charges for transferring the fund shall be borne and paid by the Subscriber. The consideration for the Subscription Shares shall be paid within fifteen (15) business days upon the satisfaction of the Condition Precedent.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Any taxation and governmental charges in connection with the issuance and allotments of the Subscription Shares and arising from the execution or performance of this Agreement shall be borne by the Subscriber.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0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8885" w:type="dxa"/>
            <w:tcBorders/>
            <w:vAlign w:val="center"/>
          </w:tcPr>
          <w:p>
            <w:pPr>
              <w:pStyle w:val="TableContents"/>
              <w:bidi w:val="0"/>
              <w:spacing w:before="0" w:after="283"/>
              <w:jc w:val="both"/>
              <w:rPr>
                <w:b/>
              </w:rPr>
            </w:pPr>
            <w:r>
              <w:rPr>
                <w:b/>
              </w:rPr>
              <w:t>THE SUBSCRIBER’S REPRESENTATIONS, WARRANTIES AND COVENANTS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the Subscriber makes the following representations, warranties and covenants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It is incorporated and validly existing under the applicable law and has the right to execute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It warrants that it will actively work with the Company to complete all necessary formalities in relation to the issuance and allotment of the Subscription Shares pursuant to the applicable laws and regulations so as to ensure that the Subscriber legally own the Subscription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signatory whose name appears under its name on the execution page of this Agreement is a duly authorized signatory of itself.</w:t>
      </w:r>
    </w:p>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0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8585" w:type="dxa"/>
            <w:tcBorders/>
            <w:vAlign w:val="center"/>
          </w:tcPr>
          <w:p>
            <w:pPr>
              <w:pStyle w:val="TableContents"/>
              <w:bidi w:val="0"/>
              <w:spacing w:before="0" w:after="283"/>
              <w:jc w:val="both"/>
              <w:rPr>
                <w:b/>
              </w:rPr>
            </w:pPr>
            <w:r>
              <w:rPr>
                <w:b/>
              </w:rPr>
              <w:t>THE COMPANY’S REPRESENTATIONS, WARRANTIES AND COVENANTS</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the Company makes the following representations, warranties and covenants to the Subscriber: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It is incorporated and validly existing under the applicable law and has the right to own its property, to issue shares and to carry on the business as currently conducted and to execute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It has the legal right and full power and authority to enter into and perform this Agreement or any other documents in connection with this Agreement, which, when executed, will constitute valid and binding obligations on itself in accordance with their respective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The signatory whose name appears under its name on the execution page of this Agreement is a duly authorized signatory of itself.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The execution of, and the performance by it of its obligations under, this Agreement and any other documents in connection with this Agreement will not: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 result in a breach of any provision of its articles of association or any other constitutional document;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 result in a breach of any agreement, license or other instrument, or result in a breach of any order, judgment or decree of any court, governmental agency or regulatory body to which it is a party or by which it or any of its assets is bound.</w:t>
      </w:r>
    </w:p>
    <w:p>
      <w:pPr>
        <w:pStyle w:val="TextBody"/>
        <w:bidi w:val="0"/>
        <w:spacing w:before="0" w:after="0"/>
        <w:ind w:left="0" w:right="0" w:firstLine="36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0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2645" w:type="dxa"/>
            <w:tcBorders/>
            <w:vAlign w:val="center"/>
          </w:tcPr>
          <w:p>
            <w:pPr>
              <w:pStyle w:val="TableContents"/>
              <w:bidi w:val="0"/>
              <w:spacing w:before="0" w:after="283"/>
              <w:jc w:val="both"/>
              <w:rPr>
                <w:b/>
              </w:rPr>
            </w:pPr>
            <w:r>
              <w:rPr>
                <w:b/>
              </w:rPr>
              <w:t>ENTIRE AGREEMENT</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understanding and agreement of the Parties relating to the subject matter of this Agreement, and supersedes all previous oral and written representations, exchanges, understandings and agreements made or reached by and between the Parties up to and including the date of this Agreement. The Parties acknowledge and agree that, in entering into this Agreement, no Party has relied on any representation, warranty or undertaking which is not included in this Agreement.</w:t>
      </w:r>
    </w:p>
    <w:p>
      <w:pPr>
        <w:pStyle w:val="TextBody"/>
        <w:bidi w:val="0"/>
        <w:spacing w:before="0" w:after="0"/>
        <w:ind w:left="0" w:right="0" w:firstLine="36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0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895" w:type="dxa"/>
            <w:tcBorders/>
            <w:vAlign w:val="center"/>
          </w:tcPr>
          <w:p>
            <w:pPr>
              <w:pStyle w:val="TableContents"/>
              <w:bidi w:val="0"/>
              <w:spacing w:before="0" w:after="283"/>
              <w:jc w:val="both"/>
              <w:rPr>
                <w:b/>
              </w:rPr>
            </w:pPr>
            <w:r>
              <w:rPr>
                <w:b/>
              </w:rPr>
              <w:t>SEVERABILITY</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shall be illegal, or for any other reason unenforceable, such provision shall be deemed to be independent from the other provisions of this Agreement and shall not affect the effect or enforceability of such other provisions, which shall continue to be effective and enforceable in accordance with their terms.</w:t>
      </w:r>
    </w:p>
    <w:p>
      <w:pPr>
        <w:pStyle w:val="TextBody"/>
        <w:bidi w:val="0"/>
        <w:spacing w:before="0" w:after="0"/>
        <w:ind w:left="0" w:right="0" w:firstLine="36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0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1670" w:type="dxa"/>
            <w:tcBorders/>
            <w:vAlign w:val="center"/>
          </w:tcPr>
          <w:p>
            <w:pPr>
              <w:pStyle w:val="TableContents"/>
              <w:bidi w:val="0"/>
              <w:spacing w:before="0" w:after="283"/>
              <w:jc w:val="both"/>
              <w:rPr>
                <w:b/>
              </w:rPr>
            </w:pPr>
            <w:r>
              <w:rPr>
                <w:b/>
              </w:rPr>
              <w:t>ASSIGNMENT</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entitled to assign the benefit of any provision of this Agreement without the prior written approval of the other Party and compliance with the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0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2690" w:type="dxa"/>
            <w:tcBorders/>
            <w:vAlign w:val="center"/>
          </w:tcPr>
          <w:p>
            <w:pPr>
              <w:pStyle w:val="TableContents"/>
              <w:bidi w:val="0"/>
              <w:spacing w:before="0" w:after="283"/>
              <w:jc w:val="both"/>
              <w:rPr>
                <w:b/>
              </w:rPr>
            </w:pPr>
            <w:r>
              <w:rPr>
                <w:b/>
              </w:rPr>
              <w:t>COSTS AND CHARGES</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this Agreement or agreed in writing by the Parties to this Agreement, each Party shall bear its own costs incurred by it in relation to the execution and implementation of this Agreement (including without limitation legal fees).</w:t>
      </w:r>
    </w:p>
    <w:p>
      <w:pPr>
        <w:pStyle w:val="TextBody"/>
        <w:bidi w:val="0"/>
        <w:spacing w:before="0" w:after="0"/>
        <w:ind w:left="0" w:right="0" w:firstLine="360"/>
        <w:jc w:val="both"/>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32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1130" w:type="dxa"/>
            <w:tcBorders/>
            <w:vAlign w:val="center"/>
          </w:tcPr>
          <w:p>
            <w:pPr>
              <w:pStyle w:val="TableContents"/>
              <w:bidi w:val="0"/>
              <w:spacing w:before="0" w:after="283"/>
              <w:jc w:val="both"/>
              <w:rPr>
                <w:b/>
              </w:rPr>
            </w:pPr>
            <w:r>
              <w:rPr>
                <w:b/>
              </w:rPr>
              <w:t>NOTICES</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shall be delivered either by hand, registered airmail or email to the following addresses (as the case may be):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Expansion Group Ltd</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Craigmuir Chambers, Road Town, Tortola, VG 1110, British Virgin Islands.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firstLine="360"/>
        <w:jc w:val="left"/>
        <w:rPr>
          <w:caps w:val="false"/>
          <w:smallCaps w:val="false"/>
        </w:rPr>
      </w:pPr>
      <w:r>
        <w:rPr>
          <w:rFonts w:ascii="Times New Roman;Times;Serif" w:hAnsi="Times New Roman;Times;Serif"/>
          <w:b w:val="false"/>
          <w:i w:val="false"/>
          <w:caps w:val="false"/>
          <w:smallCaps w:val="false"/>
          <w:sz w:val="20"/>
        </w:rPr>
        <w:t>Attention</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Ileana Zhao</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AIFU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01, Building 10, Jinzhong Guobinhui, Qinyuan 2nd Road, Lihu Community, Xili Street, Nanshan District, Shenzhen, Guangdong,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360" w:right="0" w:hanging="0"/>
        <w:jc w:val="left"/>
        <w:rPr>
          <w:caps w:val="false"/>
          <w:smallCaps w:val="false"/>
        </w:rPr>
      </w:pPr>
      <w:r>
        <w:rPr>
          <w:rFonts w:ascii="Times New Roman;Times;Serif" w:hAnsi="Times New Roman;Times;Serif"/>
          <w:b w:val="false"/>
          <w:i w:val="false"/>
          <w:caps w:val="false"/>
          <w:smallCaps w:val="false"/>
          <w:sz w:val="20"/>
        </w:rPr>
        <w:t>Attention</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Mingxiu Luan</w:t>
      </w:r>
    </w:p>
    <w:p>
      <w:pPr>
        <w:pStyle w:val="TextBody"/>
        <w:bidi w:val="0"/>
        <w:spacing w:before="0" w:after="0"/>
        <w:ind w:left="424" w:right="0" w:firstLine="2"/>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shall be deemed to have been delivered at the following times: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97"/>
        <w:gridCol w:w="9955"/>
      </w:tblGrid>
      <w:tr>
        <w:trPr/>
        <w:tc>
          <w:tcPr>
            <w:tcW w:w="5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55" w:type="dxa"/>
            <w:tcBorders/>
            <w:vAlign w:val="center"/>
          </w:tcPr>
          <w:p>
            <w:pPr>
              <w:pStyle w:val="TableContents"/>
              <w:bidi w:val="0"/>
              <w:spacing w:before="0" w:after="283"/>
              <w:jc w:val="both"/>
              <w:rPr/>
            </w:pPr>
            <w:r>
              <w:rPr/>
              <w:t>if by hand, on reaching the designated address subject to proof of delivery;</w:t>
            </w:r>
          </w:p>
        </w:tc>
      </w:tr>
    </w:tbl>
    <w:p>
      <w:pPr>
        <w:pStyle w:val="TextBody"/>
        <w:bidi w:val="0"/>
        <w:spacing w:before="0" w:after="0"/>
        <w:ind w:left="851" w:right="0" w:hanging="42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20"/>
        <w:gridCol w:w="9825"/>
      </w:tblGrid>
      <w:tr>
        <w:trPr/>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w:t>
            </w:r>
          </w:p>
        </w:tc>
        <w:tc>
          <w:tcPr>
            <w:tcW w:w="9825" w:type="dxa"/>
            <w:tcBorders/>
            <w:vAlign w:val="center"/>
          </w:tcPr>
          <w:p>
            <w:pPr>
              <w:pStyle w:val="TableContents"/>
              <w:bidi w:val="0"/>
              <w:spacing w:before="0" w:after="283"/>
              <w:jc w:val="both"/>
              <w:rPr/>
            </w:pPr>
            <w:r>
              <w:rPr/>
              <w:t>if by courier, the fifth business day after the date of dispatch; and</w:t>
            </w:r>
          </w:p>
        </w:tc>
      </w:tr>
    </w:tbl>
    <w:p>
      <w:pPr>
        <w:pStyle w:val="TextBody"/>
        <w:bidi w:val="0"/>
        <w:spacing w:before="0" w:after="0"/>
        <w:ind w:left="851" w:right="0" w:hanging="42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60"/>
        <w:gridCol w:w="9793"/>
      </w:tblGrid>
      <w:tr>
        <w:trPr/>
        <w:tc>
          <w:tcPr>
            <w:tcW w:w="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iii.</w:t>
            </w:r>
          </w:p>
        </w:tc>
        <w:tc>
          <w:tcPr>
            <w:tcW w:w="9793" w:type="dxa"/>
            <w:tcBorders/>
            <w:vAlign w:val="center"/>
          </w:tcPr>
          <w:p>
            <w:pPr>
              <w:pStyle w:val="TableContents"/>
              <w:bidi w:val="0"/>
              <w:spacing w:before="0" w:after="283"/>
              <w:jc w:val="both"/>
              <w:rPr/>
            </w:pPr>
            <w:r>
              <w:rPr/>
              <w:t>if by email, based on the date of the email shown in the incoming mailbox.</w:t>
            </w:r>
          </w:p>
        </w:tc>
      </w:tr>
    </w:tbl>
    <w:p>
      <w:pPr>
        <w:pStyle w:val="TextBody"/>
        <w:bidi w:val="0"/>
        <w:spacing w:before="0" w:after="0"/>
        <w:ind w:left="851" w:right="0" w:hanging="425"/>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32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5060" w:type="dxa"/>
            <w:tcBorders/>
            <w:vAlign w:val="center"/>
          </w:tcPr>
          <w:p>
            <w:pPr>
              <w:pStyle w:val="TableContents"/>
              <w:bidi w:val="0"/>
              <w:spacing w:before="0" w:after="283"/>
              <w:jc w:val="both"/>
              <w:rPr>
                <w:b/>
              </w:rPr>
            </w:pPr>
            <w:r>
              <w:rPr>
                <w:b/>
              </w:rPr>
              <w:t>LIABILITY FOR BREACH OF AGREEMENT</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If either Party terminates this Agreement without obtaining the consent of the other Party after the execution of this Agreement, such Party shall compensate the other Party for all direct and/or indirect losses incurred as a result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The liability for breach of this Agreement assumed by either Party shall not be discharged as a result of the termination/dissolution of this Agreement and/or the completion of the equity interest transfer formalities.</w:t>
      </w:r>
    </w:p>
    <w:p>
      <w:pPr>
        <w:pStyle w:val="TextBody"/>
        <w:bidi w:val="0"/>
        <w:spacing w:before="0" w:after="0"/>
        <w:ind w:left="0" w:right="0" w:firstLine="36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32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6605" w:type="dxa"/>
            <w:tcBorders/>
            <w:vAlign w:val="center"/>
          </w:tcPr>
          <w:p>
            <w:pPr>
              <w:pStyle w:val="TableContents"/>
              <w:bidi w:val="0"/>
              <w:spacing w:before="0" w:after="283"/>
              <w:jc w:val="both"/>
              <w:rPr>
                <w:b/>
              </w:rPr>
            </w:pPr>
            <w:r>
              <w:rPr>
                <w:b/>
              </w:rPr>
              <w:t>GOVERNING LAW AND SUBMISSION TO JURISDICTION</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This Agreement shall be construed in accordance with and be governed by the laws of Hong Kong.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Any dispute, controversy or claim arising out of or relating to this Agreement, or the breach, termination or invalidity thereof shall be settled by arbitration in the Hong Kong International Arbitration Centre under the UNCITRAL Arbitration Rules in accordance with the Hong Kong International Arbitration Centre Procedures for the Administration of International Arbitration in force at the date of this Agreement. The arbitration shall be conducted in Chinese.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award of the arbitral tribunal shall be final and binding upon the parties to the arbitration, and the prevailing party may apply to a court of competent jurisdiction for enforcement of such award.</w:t>
      </w:r>
    </w:p>
    <w:p>
      <w:pPr>
        <w:pStyle w:val="TextBody"/>
        <w:bidi w:val="0"/>
        <w:spacing w:before="0" w:after="0"/>
        <w:ind w:left="0" w:right="0" w:firstLine="36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32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2075" w:type="dxa"/>
            <w:tcBorders/>
            <w:vAlign w:val="center"/>
          </w:tcPr>
          <w:p>
            <w:pPr>
              <w:pStyle w:val="TableContents"/>
              <w:bidi w:val="0"/>
              <w:spacing w:before="0" w:after="283"/>
              <w:jc w:val="both"/>
              <w:rPr>
                <w:b/>
              </w:rPr>
            </w:pPr>
            <w:r>
              <w:rPr>
                <w:b/>
              </w:rPr>
              <w:t>COUNTERPARTS</w:t>
            </w:r>
          </w:p>
        </w:tc>
      </w:tr>
    </w:tbl>
    <w:p>
      <w:pPr>
        <w:pStyle w:val="TextBody"/>
        <w:bidi w:val="0"/>
        <w:spacing w:before="0" w:after="0"/>
        <w:ind w:left="86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entered into in any number of counterparts, all of which taken together shall constitute one and the same original instrument. Any Party may enter into this Agreement by executing any such counterpart.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firstLine="360"/>
        <w:jc w:val="both"/>
        <w:rPr>
          <w:caps w:val="false"/>
          <w:smallCaps w:val="false"/>
        </w:rPr>
      </w:pPr>
      <w:r>
        <w:rPr>
          <w:caps w:val="false"/>
          <w:smallCaps w:val="false"/>
        </w:rPr>
        <w:t> </w:t>
      </w:r>
    </w:p>
    <w:tbl>
      <w:tblPr>
        <w:tblW w:w="3969" w:type="dxa"/>
        <w:jc w:val="left"/>
        <w:tblInd w:w="0" w:type="dxa"/>
        <w:tblLayout w:type="fixed"/>
        <w:tblCellMar>
          <w:top w:w="0" w:type="dxa"/>
          <w:left w:w="0" w:type="dxa"/>
          <w:bottom w:w="0" w:type="dxa"/>
          <w:right w:w="0" w:type="dxa"/>
        </w:tblCellMar>
      </w:tblPr>
      <w:tblGrid>
        <w:gridCol w:w="1685"/>
        <w:gridCol w:w="758"/>
        <w:gridCol w:w="1526"/>
      </w:tblGrid>
      <w:tr>
        <w:trPr/>
        <w:tc>
          <w:tcPr>
            <w:tcW w:w="1685" w:type="dxa"/>
            <w:tcBorders/>
            <w:vAlign w:val="center"/>
          </w:tcPr>
          <w:p>
            <w:pPr>
              <w:pStyle w:val="TableContents"/>
              <w:bidi w:val="0"/>
              <w:spacing w:before="0" w:after="283"/>
              <w:jc w:val="left"/>
              <w:rPr>
                <w:b/>
                <w:caps/>
              </w:rPr>
            </w:pPr>
            <w:r>
              <w:rPr>
                <w:b/>
                <w:caps/>
              </w:rPr>
              <w:t>Subscriber:</w:t>
            </w:r>
          </w:p>
        </w:tc>
        <w:tc>
          <w:tcPr>
            <w:tcW w:w="2284" w:type="dxa"/>
            <w:gridSpan w:val="2"/>
            <w:tcBorders/>
            <w:vAlign w:val="center"/>
          </w:tcPr>
          <w:p>
            <w:pPr>
              <w:pStyle w:val="TableContents"/>
              <w:bidi w:val="0"/>
              <w:spacing w:before="0" w:after="283"/>
              <w:jc w:val="left"/>
              <w:rPr>
                <w:b/>
              </w:rPr>
            </w:pPr>
            <w:r>
              <w:rPr>
                <w:b/>
              </w:rPr>
              <w:t>Expansion Group Ltd</w:t>
            </w:r>
          </w:p>
        </w:tc>
      </w:tr>
      <w:tr>
        <w:trPr/>
        <w:tc>
          <w:tcPr>
            <w:tcW w:w="168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By:</w:t>
            </w:r>
          </w:p>
        </w:tc>
        <w:tc>
          <w:tcPr>
            <w:tcW w:w="1526" w:type="dxa"/>
            <w:tcBorders>
              <w:bottom w:val="single" w:sz="12" w:space="0" w:color="000000"/>
            </w:tcBorders>
            <w:tcMar>
              <w:bottom w:w="28" w:type="dxa"/>
            </w:tcMar>
            <w:vAlign w:val="center"/>
          </w:tcPr>
          <w:p>
            <w:pPr>
              <w:pStyle w:val="TableContents"/>
              <w:bidi w:val="0"/>
              <w:spacing w:before="0" w:after="283"/>
              <w:jc w:val="left"/>
              <w:rPr/>
            </w:pPr>
            <w:r>
              <w:rPr/>
              <w:t>/s/ Ileana Zhao</w:t>
            </w:r>
          </w:p>
        </w:tc>
      </w:tr>
      <w:tr>
        <w:trPr/>
        <w:tc>
          <w:tcPr>
            <w:tcW w:w="168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Name: </w:t>
            </w:r>
          </w:p>
        </w:tc>
        <w:tc>
          <w:tcPr>
            <w:tcW w:w="1526" w:type="dxa"/>
            <w:tcBorders/>
            <w:vAlign w:val="center"/>
          </w:tcPr>
          <w:p>
            <w:pPr>
              <w:pStyle w:val="TableContents"/>
              <w:bidi w:val="0"/>
              <w:spacing w:before="0" w:after="283"/>
              <w:jc w:val="left"/>
              <w:rPr/>
            </w:pPr>
            <w:r>
              <w:rPr/>
              <w:t>Ileana Zhao</w:t>
            </w:r>
          </w:p>
        </w:tc>
      </w:tr>
      <w:tr>
        <w:trPr/>
        <w:tc>
          <w:tcPr>
            <w:tcW w:w="168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Title:</w:t>
            </w:r>
          </w:p>
        </w:tc>
        <w:tc>
          <w:tcPr>
            <w:tcW w:w="1526" w:type="dxa"/>
            <w:tcBorders/>
            <w:vAlign w:val="center"/>
          </w:tcPr>
          <w:p>
            <w:pPr>
              <w:pStyle w:val="TableContents"/>
              <w:bidi w:val="0"/>
              <w:spacing w:before="0" w:after="283"/>
              <w:jc w:val="left"/>
              <w:rPr/>
            </w:pPr>
            <w:r>
              <w:rPr/>
              <w:t>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firstLine="36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385"/>
        <w:gridCol w:w="710"/>
        <w:gridCol w:w="2495"/>
      </w:tblGrid>
      <w:tr>
        <w:trPr/>
        <w:tc>
          <w:tcPr>
            <w:tcW w:w="1385" w:type="dxa"/>
            <w:tcBorders/>
            <w:vAlign w:val="center"/>
          </w:tcPr>
          <w:p>
            <w:pPr>
              <w:pStyle w:val="TableContents"/>
              <w:bidi w:val="0"/>
              <w:spacing w:before="0" w:after="283"/>
              <w:ind w:left="0" w:right="0" w:hanging="0"/>
              <w:jc w:val="left"/>
              <w:rPr>
                <w:b/>
              </w:rPr>
            </w:pPr>
            <w:r>
              <w:rPr>
                <w:b/>
              </w:rPr>
              <w:t>COMPANY:</w:t>
            </w:r>
          </w:p>
        </w:tc>
        <w:tc>
          <w:tcPr>
            <w:tcW w:w="3205" w:type="dxa"/>
            <w:gridSpan w:val="2"/>
            <w:tcBorders/>
            <w:vAlign w:val="center"/>
          </w:tcPr>
          <w:p>
            <w:pPr>
              <w:pStyle w:val="TableContents"/>
              <w:bidi w:val="0"/>
              <w:spacing w:before="0" w:after="283"/>
              <w:jc w:val="left"/>
              <w:rPr>
                <w:b/>
              </w:rPr>
            </w:pPr>
            <w:r>
              <w:rPr>
                <w:b/>
              </w:rPr>
              <w:t>AIFU Inc.</w:t>
            </w:r>
          </w:p>
        </w:tc>
      </w:tr>
      <w:tr>
        <w:trPr/>
        <w:tc>
          <w:tcPr>
            <w:tcW w:w="138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 </w:t>
            </w:r>
          </w:p>
        </w:tc>
        <w:tc>
          <w:tcPr>
            <w:tcW w:w="249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jc w:val="left"/>
              <w:rPr/>
            </w:pPr>
            <w:r>
              <w:rPr/>
              <w:t>By:</w:t>
            </w:r>
          </w:p>
        </w:tc>
        <w:tc>
          <w:tcPr>
            <w:tcW w:w="2495" w:type="dxa"/>
            <w:tcBorders>
              <w:bottom w:val="single" w:sz="12" w:space="0" w:color="000000"/>
            </w:tcBorders>
            <w:tcMar>
              <w:bottom w:w="28" w:type="dxa"/>
            </w:tcMar>
            <w:vAlign w:val="center"/>
          </w:tcPr>
          <w:p>
            <w:pPr>
              <w:pStyle w:val="TableContents"/>
              <w:bidi w:val="0"/>
              <w:spacing w:before="0" w:after="283"/>
              <w:jc w:val="left"/>
              <w:rPr/>
            </w:pPr>
            <w:r>
              <w:rPr/>
              <w:t>/s/ Mingxiu Luan</w:t>
            </w:r>
          </w:p>
        </w:tc>
      </w:tr>
      <w:tr>
        <w:trPr/>
        <w:tc>
          <w:tcPr>
            <w:tcW w:w="138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2495" w:type="dxa"/>
            <w:tcBorders/>
            <w:vAlign w:val="center"/>
          </w:tcPr>
          <w:p>
            <w:pPr>
              <w:pStyle w:val="TableContents"/>
              <w:bidi w:val="0"/>
              <w:spacing w:before="0" w:after="283"/>
              <w:jc w:val="left"/>
              <w:rPr/>
            </w:pPr>
            <w:r>
              <w:rPr/>
              <w:t>Mingxiu Luan</w:t>
            </w:r>
          </w:p>
        </w:tc>
      </w:tr>
      <w:tr>
        <w:trPr/>
        <w:tc>
          <w:tcPr>
            <w:tcW w:w="138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2495" w:type="dxa"/>
            <w:tcBorders/>
            <w:vAlign w:val="center"/>
          </w:tcPr>
          <w:p>
            <w:pPr>
              <w:pStyle w:val="TableContents"/>
              <w:bidi w:val="0"/>
              <w:spacing w:before="0" w:after="283"/>
              <w:jc w:val="left"/>
              <w:rPr/>
            </w:pPr>
            <w:r>
              <w:rPr/>
              <w:t>Vice Chairperson &amp; CEO</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1782</Words>
  <Characters>9399</Characters>
  <CharactersWithSpaces>11172</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